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D" w:rsidRPr="00B0160E" w:rsidRDefault="00AD7FE8" w:rsidP="00B0160E">
      <w:pPr>
        <w:jc w:val="center"/>
        <w:rPr>
          <w:b/>
          <w:sz w:val="32"/>
          <w:szCs w:val="32"/>
        </w:rPr>
      </w:pPr>
      <w:r w:rsidRPr="00B0160E">
        <w:rPr>
          <w:b/>
          <w:sz w:val="32"/>
          <w:szCs w:val="32"/>
        </w:rPr>
        <w:t xml:space="preserve">Questionário – Prof. </w:t>
      </w:r>
      <w:proofErr w:type="spellStart"/>
      <w:r w:rsidRPr="00B0160E">
        <w:rPr>
          <w:b/>
          <w:sz w:val="32"/>
          <w:szCs w:val="32"/>
        </w:rPr>
        <w:t>Fabrizzio</w:t>
      </w:r>
      <w:proofErr w:type="spellEnd"/>
    </w:p>
    <w:p w:rsidR="00AD7FE8" w:rsidRPr="002F733F" w:rsidRDefault="00AD7FE8" w:rsidP="00B0160E">
      <w:pPr>
        <w:rPr>
          <w:b/>
        </w:rPr>
      </w:pPr>
      <w:r w:rsidRPr="00B0160E">
        <w:rPr>
          <w:b/>
          <w:highlight w:val="cyan"/>
        </w:rPr>
        <w:t>Aula 1</w:t>
      </w:r>
      <w:r w:rsidR="002C5388" w:rsidRPr="00B0160E">
        <w:rPr>
          <w:b/>
          <w:highlight w:val="cyan"/>
        </w:rPr>
        <w:t xml:space="preserve"> –</w:t>
      </w:r>
      <w:r w:rsidR="00B0160E" w:rsidRPr="00B0160E">
        <w:rPr>
          <w:b/>
          <w:highlight w:val="cyan"/>
        </w:rPr>
        <w:t xml:space="preserve"> Sublocação e sua regulamentação / Aluguel e sua fixação -</w:t>
      </w:r>
      <w:r w:rsidR="002C5388" w:rsidRPr="00B0160E">
        <w:rPr>
          <w:b/>
          <w:highlight w:val="cyan"/>
        </w:rPr>
        <w:t xml:space="preserve"> 23/03</w:t>
      </w:r>
      <w:r w:rsidR="00B0160E" w:rsidRPr="00B0160E">
        <w:rPr>
          <w:b/>
          <w:highlight w:val="cyan"/>
        </w:rPr>
        <w:t>/13</w:t>
      </w: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t>O sublocatário pode responder pela dívida do sublocador não adimplida junto ao locador do imóvel? Explique.</w:t>
      </w:r>
    </w:p>
    <w:p w:rsidR="002C5388" w:rsidRPr="002F733F" w:rsidRDefault="002C5388" w:rsidP="00B0160E">
      <w:pPr>
        <w:tabs>
          <w:tab w:val="left" w:pos="0"/>
        </w:tabs>
        <w:contextualSpacing/>
        <w:rPr>
          <w:rFonts w:cs="Arial"/>
          <w:color w:val="1F497D" w:themeColor="text2"/>
        </w:rPr>
      </w:pPr>
      <w:r w:rsidRPr="002F733F">
        <w:rPr>
          <w:rFonts w:cs="Arial"/>
          <w:color w:val="1F497D" w:themeColor="text2"/>
        </w:rPr>
        <w:t>Sim, é possível que o sublocatário responda pela dívida do sublocador desde que</w:t>
      </w:r>
      <w:r w:rsidR="00236BC8" w:rsidRPr="002F733F">
        <w:rPr>
          <w:rFonts w:cs="Arial"/>
          <w:color w:val="1F497D" w:themeColor="text2"/>
        </w:rPr>
        <w:t>,</w:t>
      </w:r>
      <w:r w:rsidRPr="002F733F">
        <w:rPr>
          <w:rFonts w:cs="Arial"/>
          <w:color w:val="1F497D" w:themeColor="text2"/>
        </w:rPr>
        <w:t xml:space="preserve"> no contrato de locação</w:t>
      </w:r>
      <w:r w:rsidR="00236BC8" w:rsidRPr="002F733F">
        <w:rPr>
          <w:rFonts w:cs="Arial"/>
          <w:color w:val="1F497D" w:themeColor="text2"/>
        </w:rPr>
        <w:t>,</w:t>
      </w:r>
      <w:r w:rsidRPr="002F733F">
        <w:rPr>
          <w:rFonts w:cs="Arial"/>
          <w:color w:val="1F497D" w:themeColor="text2"/>
        </w:rPr>
        <w:t xml:space="preserve"> venha expresso que o pagamento do aluguel é decorrente do adimplemento do sublocatário </w:t>
      </w:r>
      <w:r w:rsidR="00236BC8" w:rsidRPr="002F733F">
        <w:rPr>
          <w:rFonts w:cs="Arial"/>
          <w:color w:val="1F497D" w:themeColor="text2"/>
        </w:rPr>
        <w:t xml:space="preserve">junto ao sublocador. Trata-se da responsabilidade subsidiária do sublocador, prevista no art. 16, da LI, cuja aplicabilidade é duvidosa </w:t>
      </w:r>
      <w:r w:rsidR="00236BC8" w:rsidRPr="002F733F">
        <w:rPr>
          <w:rFonts w:cs="Arial"/>
          <w:color w:val="1F497D" w:themeColor="text2"/>
        </w:rPr>
        <w:t>na medida em que pressupõe inadimplemento do sublocatário em relação ao sublocador.</w:t>
      </w:r>
    </w:p>
    <w:p w:rsidR="00236BC8" w:rsidRPr="002F733F" w:rsidRDefault="00236BC8" w:rsidP="00B0160E">
      <w:pPr>
        <w:tabs>
          <w:tab w:val="left" w:pos="0"/>
        </w:tabs>
        <w:contextualSpacing/>
        <w:rPr>
          <w:rFonts w:cs="Arial"/>
          <w:color w:val="1F497D" w:themeColor="text2"/>
        </w:rPr>
      </w:pP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t>Na hipótese de encerramento do contrato de locação, é possível o imediato decreto de despejo do sublocatário? Qual será o procedimento?</w:t>
      </w:r>
    </w:p>
    <w:p w:rsidR="00EB3B65" w:rsidRPr="002F733F" w:rsidRDefault="00EB3B65" w:rsidP="00B0160E">
      <w:pPr>
        <w:contextualSpacing/>
        <w:rPr>
          <w:rFonts w:cs="Arial"/>
          <w:color w:val="1F497D" w:themeColor="text2"/>
        </w:rPr>
      </w:pPr>
      <w:r w:rsidRPr="002F733F">
        <w:rPr>
          <w:rFonts w:cs="Arial"/>
          <w:color w:val="17365D" w:themeColor="text2" w:themeShade="BF"/>
        </w:rPr>
        <w:t>Sim, e</w:t>
      </w:r>
      <w:r w:rsidR="0077733A" w:rsidRPr="002F733F">
        <w:rPr>
          <w:rFonts w:cs="Arial"/>
          <w:color w:val="17365D" w:themeColor="text2" w:themeShade="BF"/>
        </w:rPr>
        <w:t xml:space="preserve">ncerrada a locação (art. 59, §1º, inciso V), </w:t>
      </w:r>
      <w:r w:rsidR="00236BC8" w:rsidRPr="002F733F">
        <w:rPr>
          <w:rFonts w:cs="Arial"/>
          <w:color w:val="17365D" w:themeColor="text2" w:themeShade="BF"/>
        </w:rPr>
        <w:t>resolvem-se</w:t>
      </w:r>
      <w:r w:rsidRPr="002F733F">
        <w:rPr>
          <w:rFonts w:cs="Arial"/>
          <w:color w:val="17365D" w:themeColor="text2" w:themeShade="BF"/>
        </w:rPr>
        <w:t>,</w:t>
      </w:r>
      <w:r w:rsidR="00236BC8" w:rsidRPr="002F733F">
        <w:rPr>
          <w:rFonts w:cs="Arial"/>
          <w:color w:val="17365D" w:themeColor="text2" w:themeShade="BF"/>
        </w:rPr>
        <w:t xml:space="preserve"> também</w:t>
      </w:r>
      <w:r w:rsidRPr="002F733F">
        <w:rPr>
          <w:rFonts w:cs="Arial"/>
          <w:color w:val="17365D" w:themeColor="text2" w:themeShade="BF"/>
        </w:rPr>
        <w:t>,</w:t>
      </w:r>
      <w:r w:rsidR="00236BC8" w:rsidRPr="002F733F">
        <w:rPr>
          <w:rFonts w:cs="Arial"/>
          <w:color w:val="17365D" w:themeColor="text2" w:themeShade="BF"/>
        </w:rPr>
        <w:t xml:space="preserve"> as sublocações (art. 15), </w:t>
      </w:r>
      <w:r w:rsidR="0077733A" w:rsidRPr="002F733F">
        <w:rPr>
          <w:rFonts w:cs="Arial"/>
          <w:b/>
          <w:color w:val="17365D" w:themeColor="text2" w:themeShade="BF"/>
        </w:rPr>
        <w:t>não</w:t>
      </w:r>
      <w:r w:rsidR="0077733A" w:rsidRPr="002F733F">
        <w:rPr>
          <w:rFonts w:cs="Arial"/>
          <w:color w:val="17365D" w:themeColor="text2" w:themeShade="BF"/>
        </w:rPr>
        <w:t xml:space="preserve"> </w:t>
      </w:r>
      <w:r w:rsidR="0077733A" w:rsidRPr="002F733F">
        <w:rPr>
          <w:rFonts w:cs="Arial"/>
          <w:color w:val="1F497D" w:themeColor="text2"/>
        </w:rPr>
        <w:t>h</w:t>
      </w:r>
      <w:r w:rsidR="00236BC8" w:rsidRPr="002F733F">
        <w:rPr>
          <w:rFonts w:cs="Arial"/>
          <w:color w:val="1F497D" w:themeColor="text2"/>
        </w:rPr>
        <w:t>avendo</w:t>
      </w:r>
      <w:r w:rsidR="0077733A" w:rsidRPr="002F733F">
        <w:rPr>
          <w:rFonts w:cs="Arial"/>
          <w:color w:val="1F497D" w:themeColor="text2"/>
        </w:rPr>
        <w:t xml:space="preserve"> necessidade do preenchimento dos requisitos do artigo 59 para ação de despejo do sublocatário com pedido liminar</w:t>
      </w:r>
      <w:r w:rsidR="00802C82" w:rsidRPr="002F733F">
        <w:rPr>
          <w:rFonts w:cs="Arial"/>
          <w:color w:val="1F497D" w:themeColor="text2"/>
        </w:rPr>
        <w:t>.</w:t>
      </w:r>
      <w:r w:rsidRPr="002F733F">
        <w:rPr>
          <w:rFonts w:cs="Arial"/>
          <w:color w:val="1F497D" w:themeColor="text2"/>
        </w:rPr>
        <w:t xml:space="preserve"> </w:t>
      </w:r>
    </w:p>
    <w:p w:rsidR="00EB3B65" w:rsidRPr="002F733F" w:rsidRDefault="00EB3B65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 xml:space="preserve">De qualquer forma, qualquer que seja o fundamento da ação de despejo, será </w:t>
      </w:r>
      <w:proofErr w:type="gramStart"/>
      <w:r w:rsidRPr="002F733F">
        <w:rPr>
          <w:rFonts w:cs="Arial"/>
          <w:color w:val="365F91" w:themeColor="accent1" w:themeShade="BF"/>
        </w:rPr>
        <w:t>dado ciência</w:t>
      </w:r>
      <w:proofErr w:type="gramEnd"/>
      <w:r w:rsidRPr="002F733F">
        <w:rPr>
          <w:rFonts w:cs="Arial"/>
          <w:color w:val="365F91" w:themeColor="accent1" w:themeShade="BF"/>
        </w:rPr>
        <w:t xml:space="preserve"> ao sublocatário que poderá intervir como assistente simples, isto porque o sublocatário </w:t>
      </w:r>
      <w:r w:rsidRPr="002F733F">
        <w:rPr>
          <w:rFonts w:cs="Arial"/>
          <w:color w:val="365F91" w:themeColor="accent1" w:themeShade="BF"/>
        </w:rPr>
        <w:t>não</w:t>
      </w:r>
      <w:r w:rsidRPr="002F733F">
        <w:rPr>
          <w:rFonts w:cs="Arial"/>
          <w:color w:val="365F91" w:themeColor="accent1" w:themeShade="BF"/>
        </w:rPr>
        <w:t xml:space="preserve"> é parte na ação, mas esta o atingirá diretamente.</w:t>
      </w:r>
    </w:p>
    <w:p w:rsidR="00EB3B65" w:rsidRPr="002F733F" w:rsidRDefault="00EB3B65" w:rsidP="00B0160E">
      <w:pPr>
        <w:contextualSpacing/>
        <w:rPr>
          <w:rFonts w:cs="Arial"/>
          <w:color w:val="1F497D" w:themeColor="text2"/>
        </w:rPr>
      </w:pP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t>Havendo ação de despejo entre locador e locatário, o sublocatário poderá participar do processo como litisconsorte passivo? Explique?</w:t>
      </w:r>
    </w:p>
    <w:p w:rsidR="00163F00" w:rsidRPr="002F733F" w:rsidRDefault="00EB3B65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 xml:space="preserve">Em ação </w:t>
      </w:r>
      <w:r w:rsidR="00163F00" w:rsidRPr="002F733F">
        <w:rPr>
          <w:rFonts w:cs="Arial"/>
          <w:color w:val="365F91" w:themeColor="accent1" w:themeShade="BF"/>
        </w:rPr>
        <w:t>de despejo, que é pautada no contrato de locação celebrado entre locador e locatário</w:t>
      </w:r>
      <w:r w:rsidRPr="002F733F">
        <w:rPr>
          <w:rFonts w:cs="Arial"/>
          <w:color w:val="365F91" w:themeColor="accent1" w:themeShade="BF"/>
        </w:rPr>
        <w:t xml:space="preserve">, </w:t>
      </w:r>
      <w:r w:rsidR="005B77AB" w:rsidRPr="002F733F">
        <w:rPr>
          <w:rFonts w:cs="Arial"/>
          <w:color w:val="365F91" w:themeColor="accent1" w:themeShade="BF"/>
        </w:rPr>
        <w:t>o sublocatário nã</w:t>
      </w:r>
      <w:r w:rsidRPr="002F733F">
        <w:rPr>
          <w:rFonts w:cs="Arial"/>
          <w:color w:val="365F91" w:themeColor="accent1" w:themeShade="BF"/>
        </w:rPr>
        <w:t>o é parte legítima para figurar</w:t>
      </w:r>
      <w:r w:rsidR="00163F00" w:rsidRPr="002F733F">
        <w:rPr>
          <w:rFonts w:cs="Arial"/>
          <w:color w:val="365F91" w:themeColor="accent1" w:themeShade="BF"/>
        </w:rPr>
        <w:t xml:space="preserve"> como parte; portanto não é possível o litisconsórcio passivo. </w:t>
      </w:r>
    </w:p>
    <w:p w:rsidR="00163F00" w:rsidRPr="002F733F" w:rsidRDefault="00163F00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>De qualquer forma, qualquer que sej</w:t>
      </w:r>
      <w:r w:rsidRPr="002F733F">
        <w:rPr>
          <w:rFonts w:cs="Arial"/>
          <w:color w:val="365F91" w:themeColor="accent1" w:themeShade="BF"/>
        </w:rPr>
        <w:t>a o fundamento da ação de despejo</w:t>
      </w:r>
      <w:r w:rsidRPr="002F733F">
        <w:rPr>
          <w:rFonts w:cs="Arial"/>
          <w:color w:val="365F91" w:themeColor="accent1" w:themeShade="BF"/>
        </w:rPr>
        <w:t xml:space="preserve">, será </w:t>
      </w:r>
      <w:proofErr w:type="gramStart"/>
      <w:r w:rsidRPr="002F733F">
        <w:rPr>
          <w:rFonts w:cs="Arial"/>
          <w:color w:val="365F91" w:themeColor="accent1" w:themeShade="BF"/>
        </w:rPr>
        <w:t>dado ciência</w:t>
      </w:r>
      <w:proofErr w:type="gramEnd"/>
      <w:r w:rsidRPr="002F733F">
        <w:rPr>
          <w:rFonts w:cs="Arial"/>
          <w:color w:val="365F91" w:themeColor="accent1" w:themeShade="BF"/>
        </w:rPr>
        <w:t xml:space="preserve"> ao sublocatário que poderá intervir como assistente simples, isto porque o sublocatário </w:t>
      </w:r>
      <w:proofErr w:type="spellStart"/>
      <w:r w:rsidRPr="002F733F">
        <w:rPr>
          <w:rFonts w:cs="Arial"/>
          <w:color w:val="365F91" w:themeColor="accent1" w:themeShade="BF"/>
        </w:rPr>
        <w:t>nao</w:t>
      </w:r>
      <w:proofErr w:type="spellEnd"/>
      <w:r w:rsidRPr="002F733F">
        <w:rPr>
          <w:rFonts w:cs="Arial"/>
          <w:color w:val="365F91" w:themeColor="accent1" w:themeShade="BF"/>
        </w:rPr>
        <w:t xml:space="preserve"> é parte na ação, mas esta o atingirá diretamente.</w:t>
      </w:r>
    </w:p>
    <w:p w:rsidR="005B77AB" w:rsidRPr="002F733F" w:rsidRDefault="005B77AB" w:rsidP="00B0160E">
      <w:pPr>
        <w:tabs>
          <w:tab w:val="left" w:pos="0"/>
        </w:tabs>
        <w:contextualSpacing/>
        <w:rPr>
          <w:rFonts w:cs="Arial"/>
          <w:color w:val="365F91" w:themeColor="accent1" w:themeShade="BF"/>
        </w:rPr>
      </w:pP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t>Em ação já ajuizada, é possível a intervenção do sublocatário? Tratar-se-á de qual modalidade de intervenção? Será atingido pela coisa julgada?</w:t>
      </w:r>
    </w:p>
    <w:p w:rsidR="005B77AB" w:rsidRPr="002F733F" w:rsidRDefault="00877EB6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 xml:space="preserve">Sim, o </w:t>
      </w:r>
      <w:r w:rsidR="005B77AB" w:rsidRPr="002F733F">
        <w:rPr>
          <w:rFonts w:cs="Arial"/>
          <w:color w:val="365F91" w:themeColor="accent1" w:themeShade="BF"/>
        </w:rPr>
        <w:t>sublocatário</w:t>
      </w:r>
      <w:r w:rsidR="009A5604" w:rsidRPr="002F733F">
        <w:rPr>
          <w:rFonts w:cs="Arial"/>
          <w:color w:val="365F91" w:themeColor="accent1" w:themeShade="BF"/>
        </w:rPr>
        <w:t>, na condição de terceiro em relação à ação ajuizada,</w:t>
      </w:r>
      <w:r w:rsidR="005B77AB" w:rsidRPr="002F733F">
        <w:rPr>
          <w:rFonts w:cs="Arial"/>
          <w:color w:val="365F91" w:themeColor="accent1" w:themeShade="BF"/>
        </w:rPr>
        <w:t xml:space="preserve"> </w:t>
      </w:r>
      <w:r w:rsidR="009A5604" w:rsidRPr="002F733F">
        <w:rPr>
          <w:rFonts w:cs="Arial"/>
          <w:color w:val="365F91" w:themeColor="accent1" w:themeShade="BF"/>
        </w:rPr>
        <w:t>poderá intervir</w:t>
      </w:r>
      <w:r w:rsidRPr="002F733F">
        <w:rPr>
          <w:rFonts w:cs="Arial"/>
          <w:color w:val="365F91" w:themeColor="accent1" w:themeShade="BF"/>
        </w:rPr>
        <w:t xml:space="preserve">, </w:t>
      </w:r>
      <w:r w:rsidRPr="002F733F">
        <w:rPr>
          <w:rFonts w:cs="Arial"/>
          <w:color w:val="365F91" w:themeColor="accent1" w:themeShade="BF"/>
          <w:u w:val="single"/>
        </w:rPr>
        <w:t>em qualquer fase do processo, inclusive em grau de recurso</w:t>
      </w:r>
      <w:r w:rsidRPr="002F733F">
        <w:rPr>
          <w:rFonts w:cs="Arial"/>
          <w:color w:val="365F91" w:themeColor="accent1" w:themeShade="BF"/>
        </w:rPr>
        <w:t>,</w:t>
      </w:r>
      <w:r w:rsidR="009A5604" w:rsidRPr="002F733F">
        <w:rPr>
          <w:rFonts w:cs="Arial"/>
          <w:color w:val="365F91" w:themeColor="accent1" w:themeShade="BF"/>
        </w:rPr>
        <w:t xml:space="preserve"> por meio de </w:t>
      </w:r>
      <w:r w:rsidR="005B77AB" w:rsidRPr="002F733F">
        <w:rPr>
          <w:rFonts w:cs="Arial"/>
          <w:b/>
          <w:color w:val="365F91" w:themeColor="accent1" w:themeShade="BF"/>
        </w:rPr>
        <w:t>assistência</w:t>
      </w:r>
      <w:r w:rsidR="009A5604" w:rsidRPr="002F733F">
        <w:rPr>
          <w:rFonts w:cs="Arial"/>
          <w:b/>
          <w:color w:val="365F91" w:themeColor="accent1" w:themeShade="BF"/>
        </w:rPr>
        <w:t xml:space="preserve"> simples</w:t>
      </w:r>
      <w:r w:rsidRPr="002F733F">
        <w:rPr>
          <w:rFonts w:cs="Arial"/>
          <w:b/>
          <w:color w:val="365F91" w:themeColor="accent1" w:themeShade="BF"/>
        </w:rPr>
        <w:t xml:space="preserve"> </w:t>
      </w:r>
      <w:r w:rsidRPr="002F733F">
        <w:rPr>
          <w:rFonts w:cs="Arial"/>
          <w:color w:val="365F91" w:themeColor="accent1" w:themeShade="BF"/>
        </w:rPr>
        <w:t>(art. 55, CPC</w:t>
      </w:r>
      <w:r w:rsidR="00EB3CE7" w:rsidRPr="002F733F">
        <w:rPr>
          <w:rFonts w:cs="Arial"/>
          <w:color w:val="365F91" w:themeColor="accent1" w:themeShade="BF"/>
        </w:rPr>
        <w:t>)</w:t>
      </w:r>
      <w:r w:rsidR="002E5CA7" w:rsidRPr="002F733F">
        <w:rPr>
          <w:rFonts w:cs="Arial"/>
          <w:color w:val="365F91" w:themeColor="accent1" w:themeShade="BF"/>
        </w:rPr>
        <w:t xml:space="preserve"> em que</w:t>
      </w:r>
      <w:r w:rsidR="007A3970" w:rsidRPr="002F733F">
        <w:rPr>
          <w:rFonts w:cs="Arial"/>
          <w:color w:val="365F91" w:themeColor="accent1" w:themeShade="BF"/>
        </w:rPr>
        <w:t xml:space="preserve"> </w:t>
      </w:r>
      <w:r w:rsidR="002E5CA7" w:rsidRPr="002F733F">
        <w:rPr>
          <w:rFonts w:cs="Arial"/>
          <w:color w:val="365F91" w:themeColor="accent1" w:themeShade="BF"/>
        </w:rPr>
        <w:t>cabe</w:t>
      </w:r>
      <w:r w:rsidR="002E5CA7" w:rsidRPr="002F733F">
        <w:rPr>
          <w:rFonts w:cs="Arial"/>
          <w:b/>
          <w:color w:val="365F91" w:themeColor="accent1" w:themeShade="BF"/>
        </w:rPr>
        <w:t xml:space="preserve"> </w:t>
      </w:r>
      <w:proofErr w:type="spellStart"/>
      <w:r w:rsidR="002E5CA7" w:rsidRPr="002F733F">
        <w:rPr>
          <w:rFonts w:cs="Arial"/>
          <w:i/>
          <w:color w:val="365F91" w:themeColor="accent1" w:themeShade="BF"/>
        </w:rPr>
        <w:t>exceptio</w:t>
      </w:r>
      <w:proofErr w:type="spellEnd"/>
      <w:r w:rsidR="002E5CA7" w:rsidRPr="002F733F">
        <w:rPr>
          <w:rFonts w:cs="Arial"/>
          <w:i/>
          <w:color w:val="365F91" w:themeColor="accent1" w:themeShade="BF"/>
        </w:rPr>
        <w:t xml:space="preserve"> male </w:t>
      </w:r>
      <w:proofErr w:type="spellStart"/>
      <w:r w:rsidR="002E5CA7" w:rsidRPr="002F733F">
        <w:rPr>
          <w:rFonts w:cs="Arial"/>
          <w:i/>
          <w:color w:val="365F91" w:themeColor="accent1" w:themeShade="BF"/>
        </w:rPr>
        <w:t>gestis</w:t>
      </w:r>
      <w:proofErr w:type="spellEnd"/>
      <w:r w:rsidR="002E5CA7" w:rsidRPr="002F733F">
        <w:rPr>
          <w:rFonts w:cs="Arial"/>
          <w:i/>
          <w:color w:val="365F91" w:themeColor="accent1" w:themeShade="BF"/>
        </w:rPr>
        <w:t xml:space="preserve"> </w:t>
      </w:r>
      <w:proofErr w:type="spellStart"/>
      <w:r w:rsidR="002E5CA7" w:rsidRPr="002F733F">
        <w:rPr>
          <w:rFonts w:cs="Arial"/>
          <w:i/>
          <w:color w:val="365F91" w:themeColor="accent1" w:themeShade="BF"/>
        </w:rPr>
        <w:t>processus</w:t>
      </w:r>
      <w:proofErr w:type="spellEnd"/>
      <w:r w:rsidR="002E5CA7" w:rsidRPr="002F733F">
        <w:rPr>
          <w:rFonts w:cs="Arial"/>
          <w:color w:val="365F91" w:themeColor="accent1" w:themeShade="BF"/>
        </w:rPr>
        <w:t>, ou seja, defesa em que se alega má gestão do processo.</w:t>
      </w:r>
    </w:p>
    <w:p w:rsidR="00877EB6" w:rsidRPr="002F733F" w:rsidRDefault="00877EB6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 xml:space="preserve">Havendo exigência legal de dar ciência (não citação) ao sublocatário acerca da ação de despejo, isso não ocorrendo, não pode ser executado contra ele o despejo. Tal </w:t>
      </w:r>
      <w:proofErr w:type="spellStart"/>
      <w:r w:rsidRPr="002F733F">
        <w:rPr>
          <w:rFonts w:cs="Arial"/>
          <w:color w:val="365F91" w:themeColor="accent1" w:themeShade="BF"/>
        </w:rPr>
        <w:t>cientificação</w:t>
      </w:r>
      <w:proofErr w:type="spellEnd"/>
      <w:r w:rsidRPr="002F733F">
        <w:rPr>
          <w:rFonts w:cs="Arial"/>
          <w:color w:val="365F91" w:themeColor="accent1" w:themeShade="BF"/>
        </w:rPr>
        <w:t xml:space="preserve"> é, na verdade, segundo Venosa, p. 298, o único direito que decorre da locação para o sublocatário</w:t>
      </w:r>
      <w:r w:rsidR="00EB3CE7" w:rsidRPr="002F733F">
        <w:rPr>
          <w:rFonts w:cs="Arial"/>
          <w:color w:val="365F91" w:themeColor="accent1" w:themeShade="BF"/>
        </w:rPr>
        <w:t>, com relação ao locador (salvo se houver menção expressa no contrato entre locador e locatário).</w:t>
      </w:r>
    </w:p>
    <w:p w:rsidR="002E5CA7" w:rsidRPr="002F733F" w:rsidRDefault="00EB3CE7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>A intenção da lei, ao determinar tal ciência, é que o sublocatário, na condição de assistente, não possa discutir questões versadas, uma vez que lhe é dada a oportunidade expressa de intervir na ação de despejo.</w:t>
      </w:r>
    </w:p>
    <w:p w:rsidR="00EB3CE7" w:rsidRPr="002F733F" w:rsidRDefault="00EB3CE7" w:rsidP="00B0160E">
      <w:pPr>
        <w:contextualSpacing/>
        <w:rPr>
          <w:rFonts w:cs="Arial"/>
        </w:rPr>
      </w:pPr>
      <w:r w:rsidRPr="002F733F">
        <w:rPr>
          <w:rFonts w:cs="Arial"/>
          <w:color w:val="365F91" w:themeColor="accent1" w:themeShade="BF"/>
        </w:rPr>
        <w:t xml:space="preserve">Entretanto se não é cientificado, </w:t>
      </w:r>
      <w:r w:rsidR="002E5CA7" w:rsidRPr="002F733F">
        <w:rPr>
          <w:rFonts w:cs="Arial"/>
          <w:color w:val="365F91" w:themeColor="accent1" w:themeShade="BF"/>
        </w:rPr>
        <w:t xml:space="preserve">não tem oportunidade de apresentar a intervenção, não se sujeitando à justiça da decisão. </w:t>
      </w:r>
    </w:p>
    <w:p w:rsidR="007A3970" w:rsidRPr="002F733F" w:rsidRDefault="007A3970" w:rsidP="00B0160E">
      <w:pPr>
        <w:contextualSpacing/>
        <w:rPr>
          <w:rFonts w:cs="Arial"/>
        </w:rPr>
      </w:pPr>
    </w:p>
    <w:p w:rsidR="00C0279D" w:rsidRPr="002F733F" w:rsidRDefault="001F4984" w:rsidP="00B0160E">
      <w:pPr>
        <w:contextualSpacing/>
        <w:rPr>
          <w:rFonts w:cs="Arial"/>
        </w:rPr>
      </w:pPr>
      <w:r w:rsidRPr="00DA3B41">
        <w:rPr>
          <w:rFonts w:cs="Arial"/>
          <w:highlight w:val="green"/>
        </w:rPr>
        <w:t>FALTA A SÍNTESE</w:t>
      </w:r>
      <w:proofErr w:type="gramStart"/>
      <w:r w:rsidRPr="00DA3B41">
        <w:rPr>
          <w:rFonts w:cs="Arial"/>
          <w:highlight w:val="green"/>
        </w:rPr>
        <w:t>!!!</w:t>
      </w:r>
      <w:proofErr w:type="gramEnd"/>
    </w:p>
    <w:p w:rsidR="005B77AB" w:rsidRPr="002F733F" w:rsidRDefault="005B77AB" w:rsidP="00B0160E">
      <w:pPr>
        <w:contextualSpacing/>
        <w:rPr>
          <w:rFonts w:cs="Arial"/>
          <w:b/>
          <w:color w:val="0070C0"/>
        </w:rPr>
      </w:pPr>
      <w:r w:rsidRPr="002F733F">
        <w:rPr>
          <w:rFonts w:cs="Arial"/>
          <w:b/>
          <w:color w:val="0070C0"/>
        </w:rPr>
        <w:t xml:space="preserve"> Não se deve confundir submissão à coisa julgada (art. 472 do CPC) com sujeição à eficácia e aos fundamentos do que foi decidido pela sentença (justiça da decisão).</w:t>
      </w:r>
    </w:p>
    <w:p w:rsidR="005B77AB" w:rsidRPr="002F733F" w:rsidRDefault="005B77AB" w:rsidP="00B0160E">
      <w:pPr>
        <w:contextualSpacing/>
        <w:rPr>
          <w:rFonts w:cs="Arial"/>
          <w:b/>
          <w:color w:val="0070C0"/>
        </w:rPr>
      </w:pPr>
      <w:r w:rsidRPr="002F733F">
        <w:rPr>
          <w:rFonts w:cs="Arial"/>
          <w:b/>
          <w:color w:val="0070C0"/>
        </w:rPr>
        <w:t>- Na primeira, transitada em julgado, pouco importa a fundamentação, as partes são atingidas pelo dispositivo da sentença de forma definitiva.</w:t>
      </w:r>
    </w:p>
    <w:p w:rsidR="005B77AB" w:rsidRPr="002F733F" w:rsidRDefault="005B77AB" w:rsidP="00B0160E">
      <w:pPr>
        <w:contextualSpacing/>
        <w:rPr>
          <w:rFonts w:cs="Arial"/>
          <w:b/>
          <w:color w:val="0070C0"/>
        </w:rPr>
      </w:pPr>
      <w:r w:rsidRPr="002F733F">
        <w:rPr>
          <w:rFonts w:cs="Arial"/>
          <w:b/>
          <w:color w:val="0070C0"/>
        </w:rPr>
        <w:t>- Já na segunda situação, o terceiro, que não é parte no processo</w:t>
      </w:r>
      <w:r w:rsidR="009A5604" w:rsidRPr="002F733F">
        <w:rPr>
          <w:rFonts w:cs="Arial"/>
          <w:b/>
          <w:color w:val="0070C0"/>
        </w:rPr>
        <w:t>,</w:t>
      </w:r>
      <w:r w:rsidRPr="002F733F">
        <w:rPr>
          <w:rFonts w:cs="Arial"/>
          <w:b/>
          <w:color w:val="0070C0"/>
        </w:rPr>
        <w:t xml:space="preserve"> mas que pode sofrer os efeitos da decisão proferida entre as partes, não poderá discutir o cumprimento da sentença dada pelas partes.</w:t>
      </w:r>
    </w:p>
    <w:p w:rsidR="005B77AB" w:rsidRPr="002F733F" w:rsidRDefault="005B77AB" w:rsidP="00B0160E">
      <w:pPr>
        <w:contextualSpacing/>
        <w:rPr>
          <w:rFonts w:cs="Arial"/>
        </w:rPr>
      </w:pPr>
      <w:r w:rsidRPr="002F733F">
        <w:rPr>
          <w:rFonts w:cs="Arial"/>
        </w:rPr>
        <w:t>- como o melhor exemplo dessa sujeição é justamente a hipótese de sublocação, exige a lei que, neste caso seja o terceiro sublocatário cientificado da existência da ação.</w:t>
      </w: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lastRenderedPageBreak/>
        <w:t xml:space="preserve">Qual a natureza do ato que determina a intimação do sublocatário para a ação de despejo da qual não é parte? </w:t>
      </w:r>
    </w:p>
    <w:p w:rsidR="00C215F0" w:rsidRPr="002F733F" w:rsidRDefault="00C0279D" w:rsidP="00B0160E">
      <w:pPr>
        <w:tabs>
          <w:tab w:val="left" w:pos="0"/>
        </w:tabs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 xml:space="preserve">Trata-se de </w:t>
      </w:r>
      <w:r w:rsidRPr="001F4984">
        <w:rPr>
          <w:rFonts w:cs="Arial"/>
          <w:i/>
          <w:color w:val="365F91" w:themeColor="accent1" w:themeShade="BF"/>
        </w:rPr>
        <w:t>ciência</w:t>
      </w:r>
      <w:r w:rsidRPr="002F733F">
        <w:rPr>
          <w:rFonts w:cs="Arial"/>
          <w:color w:val="365F91" w:themeColor="accent1" w:themeShade="BF"/>
        </w:rPr>
        <w:t>, como expressa o art. 59 § 2º; n</w:t>
      </w:r>
      <w:r w:rsidR="001F4984">
        <w:rPr>
          <w:rFonts w:cs="Arial"/>
          <w:color w:val="365F91" w:themeColor="accent1" w:themeShade="BF"/>
        </w:rPr>
        <w:t>ão é</w:t>
      </w:r>
      <w:r w:rsidR="00C215F0" w:rsidRPr="002F733F">
        <w:rPr>
          <w:rFonts w:cs="Arial"/>
          <w:color w:val="365F91" w:themeColor="accent1" w:themeShade="BF"/>
        </w:rPr>
        <w:t xml:space="preserve"> citação, mas sim de mera intimação, para que o sublocatário seja comunicado da existência da ação de despejo.</w:t>
      </w:r>
    </w:p>
    <w:p w:rsidR="00AD7FE8" w:rsidRPr="002F733F" w:rsidRDefault="00AD7FE8" w:rsidP="00B0160E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2F733F">
        <w:rPr>
          <w:rFonts w:asciiTheme="minorHAnsi" w:hAnsiTheme="minorHAnsi" w:cs="Arial"/>
          <w:sz w:val="22"/>
          <w:szCs w:val="22"/>
        </w:rPr>
        <w:t>Qual a consequência que tem o processo em que o sublocatário não é intimado a participar? Explique.</w:t>
      </w:r>
    </w:p>
    <w:p w:rsidR="002F733F" w:rsidRPr="002F733F" w:rsidRDefault="00C0279D" w:rsidP="00B0160E">
      <w:pPr>
        <w:contextualSpacing/>
        <w:rPr>
          <w:rFonts w:cs="Arial"/>
          <w:color w:val="365F91" w:themeColor="accent1" w:themeShade="BF"/>
        </w:rPr>
      </w:pPr>
      <w:r w:rsidRPr="002F733F">
        <w:rPr>
          <w:rFonts w:cs="Arial"/>
          <w:color w:val="365F91" w:themeColor="accent1" w:themeShade="BF"/>
        </w:rPr>
        <w:t>Havendo exigência legal de dar ciência (não citação) ao sublocatário acerca da ação de despejo, isso não ocorrendo</w:t>
      </w:r>
      <w:r w:rsidRPr="002F733F">
        <w:rPr>
          <w:rFonts w:cs="Arial"/>
          <w:i/>
          <w:color w:val="365F91" w:themeColor="accent1" w:themeShade="BF"/>
        </w:rPr>
        <w:t xml:space="preserve">, </w:t>
      </w:r>
      <w:r w:rsidRPr="001F4984">
        <w:rPr>
          <w:rFonts w:cs="Arial"/>
          <w:color w:val="365F91" w:themeColor="accent1" w:themeShade="BF"/>
        </w:rPr>
        <w:t>não pode ser</w:t>
      </w:r>
      <w:r w:rsidR="002F733F" w:rsidRPr="001F4984">
        <w:rPr>
          <w:rFonts w:cs="Arial"/>
          <w:color w:val="365F91" w:themeColor="accent1" w:themeShade="BF"/>
        </w:rPr>
        <w:t xml:space="preserve"> executado contra ele</w:t>
      </w:r>
      <w:r w:rsidR="002F733F" w:rsidRPr="002F733F">
        <w:rPr>
          <w:rFonts w:cs="Arial"/>
          <w:i/>
          <w:color w:val="365F91" w:themeColor="accent1" w:themeShade="BF"/>
        </w:rPr>
        <w:t xml:space="preserve"> o </w:t>
      </w:r>
      <w:r w:rsidR="002F733F" w:rsidRPr="002F733F">
        <w:rPr>
          <w:rFonts w:cs="Arial"/>
          <w:color w:val="365F91" w:themeColor="accent1" w:themeShade="BF"/>
        </w:rPr>
        <w:t>despejo, devendo o locador ajuizar nova ação de despejo com pedido liminar e, desta, vez, cientificando o sublocador.</w:t>
      </w:r>
    </w:p>
    <w:p w:rsidR="002F733F" w:rsidRPr="002F733F" w:rsidRDefault="002F733F" w:rsidP="00B0160E">
      <w:pPr>
        <w:contextualSpacing/>
        <w:rPr>
          <w:rFonts w:cs="Arial"/>
          <w:color w:val="365F91" w:themeColor="accent1" w:themeShade="BF"/>
        </w:rPr>
      </w:pPr>
    </w:p>
    <w:p w:rsidR="00C215F0" w:rsidRPr="002F733F" w:rsidRDefault="00C215F0" w:rsidP="00B0160E">
      <w:pPr>
        <w:contextualSpacing/>
        <w:rPr>
          <w:rFonts w:cs="Arial"/>
          <w:color w:val="365F91" w:themeColor="accent1" w:themeShade="BF"/>
        </w:rPr>
      </w:pPr>
    </w:p>
    <w:p w:rsidR="00C215F0" w:rsidRPr="002F733F" w:rsidRDefault="00C215F0" w:rsidP="00B0160E">
      <w:pPr>
        <w:tabs>
          <w:tab w:val="left" w:pos="0"/>
        </w:tabs>
        <w:contextualSpacing/>
        <w:rPr>
          <w:rFonts w:cs="Arial"/>
        </w:rPr>
      </w:pPr>
    </w:p>
    <w:p w:rsidR="00AD7FE8" w:rsidRPr="00B9419F" w:rsidRDefault="00AD7FE8" w:rsidP="001F4984">
      <w:pPr>
        <w:contextualSpacing/>
        <w:jc w:val="center"/>
        <w:rPr>
          <w:b/>
        </w:rPr>
      </w:pPr>
      <w:r w:rsidRPr="0062184D">
        <w:rPr>
          <w:b/>
          <w:highlight w:val="cyan"/>
        </w:rPr>
        <w:t>Aula 2</w:t>
      </w:r>
      <w:r w:rsidR="0062184D">
        <w:rPr>
          <w:b/>
          <w:highlight w:val="cyan"/>
        </w:rPr>
        <w:t xml:space="preserve"> </w:t>
      </w:r>
      <w:r w:rsidR="00027C4A" w:rsidRPr="0062184D">
        <w:rPr>
          <w:b/>
          <w:highlight w:val="cyan"/>
        </w:rPr>
        <w:t xml:space="preserve">– Locação em shopping </w:t>
      </w:r>
      <w:proofErr w:type="gramStart"/>
      <w:r w:rsidR="00027C4A" w:rsidRPr="0062184D">
        <w:rPr>
          <w:b/>
          <w:highlight w:val="cyan"/>
        </w:rPr>
        <w:t>center</w:t>
      </w:r>
      <w:proofErr w:type="gramEnd"/>
      <w:r w:rsidR="0062184D">
        <w:rPr>
          <w:b/>
          <w:highlight w:val="cyan"/>
        </w:rPr>
        <w:t xml:space="preserve"> </w:t>
      </w:r>
      <w:r w:rsidR="0062184D" w:rsidRPr="0062184D">
        <w:rPr>
          <w:b/>
          <w:highlight w:val="cyan"/>
        </w:rPr>
        <w:t>– 06/04/13</w:t>
      </w: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357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 xml:space="preserve">É possível afirmar que os contratos celebrados em </w:t>
      </w:r>
      <w:r w:rsidRPr="00B9419F">
        <w:rPr>
          <w:rFonts w:asciiTheme="minorHAnsi" w:hAnsiTheme="minorHAnsi"/>
          <w:i/>
          <w:sz w:val="22"/>
          <w:szCs w:val="22"/>
        </w:rPr>
        <w:t xml:space="preserve">shopping </w:t>
      </w:r>
      <w:proofErr w:type="gramStart"/>
      <w:r w:rsidRPr="00B9419F">
        <w:rPr>
          <w:rFonts w:asciiTheme="minorHAnsi" w:hAnsiTheme="minorHAnsi"/>
          <w:i/>
          <w:sz w:val="22"/>
          <w:szCs w:val="22"/>
        </w:rPr>
        <w:t>center</w:t>
      </w:r>
      <w:proofErr w:type="gramEnd"/>
      <w:r w:rsidRPr="00B9419F">
        <w:rPr>
          <w:rFonts w:asciiTheme="minorHAnsi" w:hAnsiTheme="minorHAnsi"/>
          <w:sz w:val="22"/>
          <w:szCs w:val="22"/>
        </w:rPr>
        <w:t xml:space="preserve"> tem natureza exclusivamente locatícia? Explique.</w:t>
      </w:r>
    </w:p>
    <w:p w:rsidR="00027C4A" w:rsidRDefault="00027C4A" w:rsidP="00B0160E">
      <w:pPr>
        <w:ind w:left="357"/>
        <w:contextualSpacing/>
        <w:rPr>
          <w:color w:val="365F91" w:themeColor="accent1" w:themeShade="BF"/>
        </w:rPr>
      </w:pPr>
      <w:r w:rsidRPr="00027C4A">
        <w:rPr>
          <w:color w:val="365F91" w:themeColor="accent1" w:themeShade="BF"/>
        </w:rPr>
        <w:t>Não, pois há algumas peculiaridade</w:t>
      </w:r>
      <w:r w:rsidR="00E37A05">
        <w:rPr>
          <w:color w:val="365F91" w:themeColor="accent1" w:themeShade="BF"/>
        </w:rPr>
        <w:t>s</w:t>
      </w:r>
      <w:r w:rsidRPr="00027C4A">
        <w:rPr>
          <w:color w:val="365F91" w:themeColor="accent1" w:themeShade="BF"/>
        </w:rPr>
        <w:t xml:space="preserve"> que se assemelham ao condomínio.</w:t>
      </w:r>
      <w:r w:rsidR="0001323B">
        <w:rPr>
          <w:color w:val="365F91" w:themeColor="accent1" w:themeShade="BF"/>
        </w:rPr>
        <w:t xml:space="preserve"> </w:t>
      </w:r>
    </w:p>
    <w:p w:rsidR="0001323B" w:rsidRDefault="0001323B" w:rsidP="00B0160E">
      <w:pPr>
        <w:ind w:left="357"/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A previsão normativa do art. 54 da LI permite se afirmar que o contrato entre lojista e empreendedor tem natureza locatícia, tratando-se de espécie de locação </w:t>
      </w:r>
      <w:proofErr w:type="gramStart"/>
      <w:r>
        <w:rPr>
          <w:color w:val="365F91" w:themeColor="accent1" w:themeShade="BF"/>
        </w:rPr>
        <w:t>não-residencial</w:t>
      </w:r>
      <w:proofErr w:type="gramEnd"/>
      <w:r>
        <w:rPr>
          <w:color w:val="365F91" w:themeColor="accent1" w:themeShade="BF"/>
        </w:rPr>
        <w:t>. Logo nesse contrato misto não se pode retirar sua natureza locatícia.</w:t>
      </w:r>
    </w:p>
    <w:p w:rsidR="00027C4A" w:rsidRDefault="00027C4A" w:rsidP="00B0160E">
      <w:pPr>
        <w:ind w:left="357"/>
        <w:contextualSpacing/>
        <w:rPr>
          <w:color w:val="365F91" w:themeColor="accent1" w:themeShade="BF"/>
        </w:rPr>
      </w:pP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>Como é estabelecido o valor da locação nessa espécie contratual?</w:t>
      </w:r>
    </w:p>
    <w:p w:rsidR="00952A8E" w:rsidRDefault="00952A8E" w:rsidP="001F4984">
      <w:p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Há atribuição de </w:t>
      </w:r>
      <w:proofErr w:type="gramStart"/>
      <w:r>
        <w:rPr>
          <w:color w:val="365F91" w:themeColor="accent1" w:themeShade="BF"/>
        </w:rPr>
        <w:t>3</w:t>
      </w:r>
      <w:proofErr w:type="gramEnd"/>
      <w:r>
        <w:rPr>
          <w:color w:val="365F91" w:themeColor="accent1" w:themeShade="BF"/>
        </w:rPr>
        <w:t xml:space="preserve"> cálculos para o aluguel:</w:t>
      </w:r>
    </w:p>
    <w:p w:rsidR="00952A8E" w:rsidRPr="00952A8E" w:rsidRDefault="00027C4A" w:rsidP="00952A8E">
      <w:pPr>
        <w:pStyle w:val="PargrafodaLista"/>
        <w:numPr>
          <w:ilvl w:val="0"/>
          <w:numId w:val="8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952A8E">
        <w:rPr>
          <w:rFonts w:asciiTheme="minorHAnsi" w:hAnsiTheme="minorHAnsi"/>
          <w:color w:val="365F91" w:themeColor="accent1" w:themeShade="BF"/>
          <w:sz w:val="22"/>
          <w:szCs w:val="22"/>
        </w:rPr>
        <w:t>um</w:t>
      </w:r>
      <w:proofErr w:type="gramEnd"/>
      <w:r w:rsidRPr="00952A8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valor fixo mínimo</w:t>
      </w:r>
      <w:r w:rsidR="00952A8E" w:rsidRPr="00952A8E">
        <w:rPr>
          <w:rFonts w:asciiTheme="minorHAnsi" w:hAnsiTheme="minorHAnsi"/>
          <w:color w:val="365F91" w:themeColor="accent1" w:themeShade="BF"/>
          <w:sz w:val="22"/>
          <w:szCs w:val="22"/>
        </w:rPr>
        <w:t>;</w:t>
      </w:r>
      <w:r w:rsidRPr="00952A8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e </w:t>
      </w:r>
    </w:p>
    <w:p w:rsidR="00027C4A" w:rsidRDefault="00952A8E" w:rsidP="00952A8E">
      <w:pPr>
        <w:pStyle w:val="PargrafodaLista"/>
        <w:numPr>
          <w:ilvl w:val="0"/>
          <w:numId w:val="8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>
        <w:rPr>
          <w:rFonts w:asciiTheme="minorHAnsi" w:hAnsiTheme="minorHAnsi"/>
          <w:color w:val="365F91" w:themeColor="accent1" w:themeShade="BF"/>
          <w:sz w:val="22"/>
          <w:szCs w:val="22"/>
        </w:rPr>
        <w:t>um</w:t>
      </w:r>
      <w:proofErr w:type="gramEnd"/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valor</w:t>
      </w:r>
      <w:r w:rsidR="00027C4A" w:rsidRPr="00952A8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percentual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variável decorrente das vendas do locatário</w:t>
      </w:r>
      <w:r w:rsidR="00027C4A" w:rsidRPr="00952A8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(devido o maior deles a cada mês), </w:t>
      </w:r>
      <w:r w:rsidR="00CB54BB">
        <w:rPr>
          <w:rFonts w:asciiTheme="minorHAnsi" w:hAnsiTheme="minorHAnsi"/>
          <w:color w:val="365F91" w:themeColor="accent1" w:themeShade="BF"/>
          <w:sz w:val="22"/>
          <w:szCs w:val="22"/>
        </w:rPr>
        <w:t>que será</w:t>
      </w:r>
      <w:r w:rsidR="00027C4A" w:rsidRPr="00952A8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em dobro em dezembro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;</w:t>
      </w:r>
    </w:p>
    <w:p w:rsidR="00952A8E" w:rsidRDefault="00952A8E" w:rsidP="00952A8E">
      <w:pPr>
        <w:pStyle w:val="PargrafodaLista"/>
        <w:numPr>
          <w:ilvl w:val="0"/>
          <w:numId w:val="8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952A8E">
        <w:rPr>
          <w:rFonts w:asciiTheme="minorHAnsi" w:hAnsiTheme="minorHAnsi"/>
          <w:i/>
          <w:color w:val="365F91" w:themeColor="accent1" w:themeShade="BF"/>
          <w:sz w:val="22"/>
          <w:szCs w:val="22"/>
        </w:rPr>
        <w:t>res</w:t>
      </w:r>
      <w:proofErr w:type="gramEnd"/>
      <w:r w:rsidRPr="00952A8E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952A8E">
        <w:rPr>
          <w:rFonts w:asciiTheme="minorHAnsi" w:hAnsiTheme="minorHAnsi"/>
          <w:i/>
          <w:color w:val="365F91" w:themeColor="accent1" w:themeShade="BF"/>
          <w:sz w:val="22"/>
          <w:szCs w:val="22"/>
        </w:rPr>
        <w:t>sperata</w:t>
      </w:r>
      <w:proofErr w:type="spellEnd"/>
      <w:r>
        <w:rPr>
          <w:rFonts w:asciiTheme="minorHAnsi" w:hAnsiTheme="minorHAnsi"/>
          <w:color w:val="365F91" w:themeColor="accent1" w:themeShade="BF"/>
          <w:sz w:val="22"/>
          <w:szCs w:val="22"/>
        </w:rPr>
        <w:t>: retribuição ao empreendedor pela cessão do fundo de comércio e de toda a estrutura que o acompanha (</w:t>
      </w:r>
      <w:proofErr w:type="spellStart"/>
      <w:r>
        <w:rPr>
          <w:rFonts w:asciiTheme="minorHAnsi" w:hAnsiTheme="minorHAnsi"/>
          <w:color w:val="365F91" w:themeColor="accent1" w:themeShade="BF"/>
          <w:sz w:val="22"/>
          <w:szCs w:val="22"/>
        </w:rPr>
        <w:t>sobrefundo</w:t>
      </w:r>
      <w:proofErr w:type="spellEnd"/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de comércio).</w:t>
      </w:r>
    </w:p>
    <w:p w:rsidR="00952A8E" w:rsidRPr="00952A8E" w:rsidRDefault="00952A8E" w:rsidP="00952A8E">
      <w:pPr>
        <w:ind w:left="360"/>
        <w:rPr>
          <w:color w:val="365F91" w:themeColor="accent1" w:themeShade="BF"/>
        </w:rPr>
      </w:pPr>
    </w:p>
    <w:p w:rsidR="00AD7FE8" w:rsidRDefault="00B0160E" w:rsidP="00B0160E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</w:t>
      </w:r>
      <w:r w:rsidR="00AD7FE8" w:rsidRPr="00B9419F">
        <w:rPr>
          <w:rFonts w:asciiTheme="minorHAnsi" w:hAnsiTheme="minorHAnsi"/>
          <w:i/>
          <w:sz w:val="22"/>
          <w:szCs w:val="22"/>
        </w:rPr>
        <w:t xml:space="preserve">ands e </w:t>
      </w:r>
      <w:r w:rsidR="00AD7FE8" w:rsidRPr="00B9419F">
        <w:rPr>
          <w:rFonts w:asciiTheme="minorHAnsi" w:hAnsiTheme="minorHAnsi"/>
          <w:sz w:val="22"/>
          <w:szCs w:val="22"/>
        </w:rPr>
        <w:t xml:space="preserve">quiosques seguem a mesma sistemática das lojas em </w:t>
      </w:r>
      <w:r w:rsidR="00AD7FE8" w:rsidRPr="00B9419F">
        <w:rPr>
          <w:rFonts w:asciiTheme="minorHAnsi" w:hAnsiTheme="minorHAnsi"/>
          <w:i/>
          <w:sz w:val="22"/>
          <w:szCs w:val="22"/>
        </w:rPr>
        <w:t>shopping centers</w:t>
      </w:r>
      <w:r w:rsidR="00AD7FE8" w:rsidRPr="00B9419F">
        <w:rPr>
          <w:rFonts w:asciiTheme="minorHAnsi" w:hAnsiTheme="minorHAnsi"/>
          <w:sz w:val="22"/>
          <w:szCs w:val="22"/>
        </w:rPr>
        <w:t>?</w:t>
      </w:r>
    </w:p>
    <w:p w:rsidR="00027C4A" w:rsidRDefault="00027C4A" w:rsidP="001F4984">
      <w:pPr>
        <w:ind w:left="360"/>
        <w:rPr>
          <w:color w:val="365F91" w:themeColor="accent1" w:themeShade="BF"/>
        </w:rPr>
      </w:pPr>
      <w:r w:rsidRPr="00027C4A">
        <w:rPr>
          <w:color w:val="365F91" w:themeColor="accent1" w:themeShade="BF"/>
        </w:rPr>
        <w:t>Sim.</w:t>
      </w:r>
      <w:r w:rsidR="00952A8E">
        <w:rPr>
          <w:color w:val="365F91" w:themeColor="accent1" w:themeShade="BF"/>
        </w:rPr>
        <w:t xml:space="preserve"> A jurisprudência tem afastado as tentativas de burlar o sistema da LI em condutas, como, por exemplo, cessão de </w:t>
      </w:r>
      <w:r w:rsidR="00952A8E" w:rsidRPr="001F4984">
        <w:rPr>
          <w:i/>
          <w:color w:val="365F91" w:themeColor="accent1" w:themeShade="BF"/>
        </w:rPr>
        <w:t>stand</w:t>
      </w:r>
      <w:r w:rsidR="00952A8E">
        <w:rPr>
          <w:color w:val="365F91" w:themeColor="accent1" w:themeShade="BF"/>
        </w:rPr>
        <w:t xml:space="preserve"> de janeiro a dezembro de cada ano, mediante taxa de participação mensal.</w:t>
      </w: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 xml:space="preserve">Explique do que se trata a </w:t>
      </w:r>
      <w:r w:rsidRPr="00B9419F">
        <w:rPr>
          <w:rFonts w:asciiTheme="minorHAnsi" w:hAnsiTheme="minorHAnsi"/>
          <w:i/>
          <w:sz w:val="22"/>
          <w:szCs w:val="22"/>
        </w:rPr>
        <w:t xml:space="preserve">res </w:t>
      </w:r>
      <w:proofErr w:type="spellStart"/>
      <w:r w:rsidRPr="00B9419F">
        <w:rPr>
          <w:rFonts w:asciiTheme="minorHAnsi" w:hAnsiTheme="minorHAnsi"/>
          <w:i/>
          <w:sz w:val="22"/>
          <w:szCs w:val="22"/>
        </w:rPr>
        <w:t>sperata</w:t>
      </w:r>
      <w:proofErr w:type="spellEnd"/>
      <w:r w:rsidRPr="00B9419F">
        <w:rPr>
          <w:rFonts w:asciiTheme="minorHAnsi" w:hAnsiTheme="minorHAnsi"/>
          <w:sz w:val="22"/>
          <w:szCs w:val="22"/>
        </w:rPr>
        <w:t>.</w:t>
      </w:r>
    </w:p>
    <w:p w:rsidR="00027C4A" w:rsidRPr="00027C4A" w:rsidRDefault="00027C4A" w:rsidP="001F4984">
      <w:pPr>
        <w:ind w:left="360"/>
        <w:rPr>
          <w:color w:val="365F91" w:themeColor="accent1" w:themeShade="BF"/>
        </w:rPr>
      </w:pPr>
      <w:r w:rsidRPr="00027C4A">
        <w:rPr>
          <w:color w:val="365F91" w:themeColor="accent1" w:themeShade="BF"/>
        </w:rPr>
        <w:t>Trata-se de um pagamento antecipado à vigência do contrato de locação pela reserva do uso da área do shopping que ainda será construído.</w:t>
      </w: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 xml:space="preserve">Sendo a </w:t>
      </w:r>
      <w:r w:rsidRPr="00B9419F">
        <w:rPr>
          <w:rFonts w:asciiTheme="minorHAnsi" w:hAnsiTheme="minorHAnsi"/>
          <w:i/>
          <w:sz w:val="22"/>
          <w:szCs w:val="22"/>
        </w:rPr>
        <w:t xml:space="preserve">res </w:t>
      </w:r>
      <w:proofErr w:type="spellStart"/>
      <w:r w:rsidRPr="00B9419F">
        <w:rPr>
          <w:rFonts w:asciiTheme="minorHAnsi" w:hAnsiTheme="minorHAnsi"/>
          <w:i/>
          <w:sz w:val="22"/>
          <w:szCs w:val="22"/>
        </w:rPr>
        <w:t>sperata</w:t>
      </w:r>
      <w:proofErr w:type="spellEnd"/>
      <w:r w:rsidRPr="00B9419F">
        <w:rPr>
          <w:rFonts w:asciiTheme="minorHAnsi" w:hAnsiTheme="minorHAnsi"/>
          <w:i/>
          <w:sz w:val="22"/>
          <w:szCs w:val="22"/>
        </w:rPr>
        <w:t xml:space="preserve"> </w:t>
      </w:r>
      <w:r w:rsidRPr="00B9419F">
        <w:rPr>
          <w:rFonts w:asciiTheme="minorHAnsi" w:hAnsiTheme="minorHAnsi"/>
          <w:sz w:val="22"/>
          <w:szCs w:val="22"/>
        </w:rPr>
        <w:t>infrutífera, caberá ação indenizatória? Explique.</w:t>
      </w:r>
    </w:p>
    <w:p w:rsidR="00B9419F" w:rsidRPr="00CB54BB" w:rsidRDefault="00CB54BB" w:rsidP="001F4984">
      <w:pPr>
        <w:ind w:left="360"/>
        <w:contextualSpacing/>
        <w:rPr>
          <w:color w:val="365F91" w:themeColor="accent1" w:themeShade="BF"/>
        </w:rPr>
      </w:pPr>
      <w:r w:rsidRPr="00027C4A">
        <w:rPr>
          <w:color w:val="365F91" w:themeColor="accent1" w:themeShade="BF"/>
        </w:rPr>
        <w:t xml:space="preserve">Sim, </w:t>
      </w:r>
      <w:r>
        <w:rPr>
          <w:color w:val="365F91" w:themeColor="accent1" w:themeShade="BF"/>
        </w:rPr>
        <w:t>com o malogro do empreendimento, cabe indenização ao locatário (</w:t>
      </w:r>
      <w:r w:rsidRPr="00027C4A">
        <w:rPr>
          <w:color w:val="365F91" w:themeColor="accent1" w:themeShade="BF"/>
        </w:rPr>
        <w:t>restituição dos valores pagos, além das perdas e danos ou multa contratual eventualmente pactuada</w:t>
      </w:r>
      <w:r>
        <w:rPr>
          <w:color w:val="365F91" w:themeColor="accent1" w:themeShade="BF"/>
        </w:rPr>
        <w:t xml:space="preserve">) desde que seja demonstrado nexo de causalidade entre a </w:t>
      </w:r>
      <w:r w:rsidR="008101ED">
        <w:rPr>
          <w:color w:val="365F91" w:themeColor="accent1" w:themeShade="BF"/>
        </w:rPr>
        <w:t>ocorrência de dano para o lojista</w:t>
      </w:r>
      <w:r w:rsidR="001F4984">
        <w:rPr>
          <w:color w:val="365F91" w:themeColor="accent1" w:themeShade="BF"/>
        </w:rPr>
        <w:t xml:space="preserve"> (</w:t>
      </w:r>
      <w:r w:rsidR="008101ED">
        <w:rPr>
          <w:color w:val="365F91" w:themeColor="accent1" w:themeShade="BF"/>
        </w:rPr>
        <w:t xml:space="preserve">aferível por meio do baixo movimento do shopping </w:t>
      </w:r>
      <w:proofErr w:type="gramStart"/>
      <w:r w:rsidR="008101ED">
        <w:rPr>
          <w:color w:val="365F91" w:themeColor="accent1" w:themeShade="BF"/>
        </w:rPr>
        <w:t>center</w:t>
      </w:r>
      <w:proofErr w:type="gramEnd"/>
      <w:r w:rsidR="001F4984">
        <w:rPr>
          <w:color w:val="365F91" w:themeColor="accent1" w:themeShade="BF"/>
        </w:rPr>
        <w:t>) e</w:t>
      </w:r>
      <w:r w:rsidR="008101ED">
        <w:rPr>
          <w:color w:val="365F91" w:themeColor="accent1" w:themeShade="BF"/>
        </w:rPr>
        <w:t xml:space="preserve"> a culpa do locador (má gestão do shopping center, descumprimento de obrigações contratuais, falha no marketing ou  na divulgação  do empreend</w:t>
      </w:r>
      <w:r>
        <w:rPr>
          <w:color w:val="365F91" w:themeColor="accent1" w:themeShade="BF"/>
        </w:rPr>
        <w:t>i</w:t>
      </w:r>
      <w:r w:rsidR="00C7128B">
        <w:rPr>
          <w:color w:val="365F91" w:themeColor="accent1" w:themeShade="BF"/>
        </w:rPr>
        <w:t>mento)</w:t>
      </w:r>
      <w:r w:rsidR="008101ED">
        <w:rPr>
          <w:color w:val="365F91" w:themeColor="accent1" w:themeShade="BF"/>
        </w:rPr>
        <w:t xml:space="preserve">. </w:t>
      </w: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>A ação renovatória de alugu</w:t>
      </w:r>
      <w:r w:rsidR="001F4984">
        <w:rPr>
          <w:rFonts w:asciiTheme="minorHAnsi" w:hAnsiTheme="minorHAnsi"/>
          <w:sz w:val="22"/>
          <w:szCs w:val="22"/>
        </w:rPr>
        <w:t>é</w:t>
      </w:r>
      <w:r w:rsidRPr="00B9419F">
        <w:rPr>
          <w:rFonts w:asciiTheme="minorHAnsi" w:hAnsiTheme="minorHAnsi"/>
          <w:sz w:val="22"/>
          <w:szCs w:val="22"/>
        </w:rPr>
        <w:t xml:space="preserve">is, na forma estabelecida na Lei de Locações, aplica-se </w:t>
      </w:r>
      <w:r w:rsidRPr="00C7128B">
        <w:rPr>
          <w:rFonts w:asciiTheme="minorHAnsi" w:hAnsiTheme="minorHAnsi"/>
          <w:sz w:val="22"/>
          <w:szCs w:val="22"/>
          <w:u w:val="single"/>
        </w:rPr>
        <w:t>integralmente</w:t>
      </w:r>
      <w:r w:rsidRPr="00B9419F">
        <w:rPr>
          <w:rFonts w:asciiTheme="minorHAnsi" w:hAnsiTheme="minorHAnsi"/>
          <w:sz w:val="22"/>
          <w:szCs w:val="22"/>
        </w:rPr>
        <w:t xml:space="preserve"> nas locações de </w:t>
      </w:r>
      <w:r w:rsidRPr="00B9419F">
        <w:rPr>
          <w:rFonts w:asciiTheme="minorHAnsi" w:hAnsiTheme="minorHAnsi"/>
          <w:i/>
          <w:sz w:val="22"/>
          <w:szCs w:val="22"/>
        </w:rPr>
        <w:t>shopping centers</w:t>
      </w:r>
      <w:r w:rsidRPr="00B9419F">
        <w:rPr>
          <w:rFonts w:asciiTheme="minorHAnsi" w:hAnsiTheme="minorHAnsi"/>
          <w:sz w:val="22"/>
          <w:szCs w:val="22"/>
        </w:rPr>
        <w:t>?</w:t>
      </w:r>
    </w:p>
    <w:p w:rsidR="00027C4A" w:rsidRPr="00027C4A" w:rsidRDefault="00C7128B" w:rsidP="001F4984">
      <w:p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Não</w:t>
      </w:r>
      <w:r w:rsidR="001F4984">
        <w:rPr>
          <w:color w:val="365F91" w:themeColor="accent1" w:themeShade="BF"/>
        </w:rPr>
        <w:t>, sua aplicação não é integral</w:t>
      </w:r>
      <w:r>
        <w:rPr>
          <w:color w:val="365F91" w:themeColor="accent1" w:themeShade="BF"/>
        </w:rPr>
        <w:t xml:space="preserve">, visto que, de acordo com o inciso II do art. 52, da LI, </w:t>
      </w:r>
      <w:r w:rsidR="00027C4A" w:rsidRPr="00027C4A">
        <w:rPr>
          <w:color w:val="365F91" w:themeColor="accent1" w:themeShade="BF"/>
        </w:rPr>
        <w:t>não cabe defesa fundada na hipótese do imóvel ser utilizado pelo próprio locador ou para transferência de fundo de com</w:t>
      </w:r>
      <w:r w:rsidR="001F4984">
        <w:rPr>
          <w:color w:val="365F91" w:themeColor="accent1" w:themeShade="BF"/>
        </w:rPr>
        <w:t>ér</w:t>
      </w:r>
      <w:r w:rsidR="00027C4A" w:rsidRPr="00027C4A">
        <w:rPr>
          <w:color w:val="365F91" w:themeColor="accent1" w:themeShade="BF"/>
        </w:rPr>
        <w:t xml:space="preserve">cio existente há mais de </w:t>
      </w:r>
      <w:r>
        <w:rPr>
          <w:color w:val="365F91" w:themeColor="accent1" w:themeShade="BF"/>
        </w:rPr>
        <w:t>um</w:t>
      </w:r>
      <w:r w:rsidR="00027C4A" w:rsidRPr="00027C4A">
        <w:rPr>
          <w:color w:val="365F91" w:themeColor="accent1" w:themeShade="BF"/>
        </w:rPr>
        <w:t xml:space="preserve"> ano</w:t>
      </w:r>
      <w:r>
        <w:rPr>
          <w:color w:val="365F91" w:themeColor="accent1" w:themeShade="BF"/>
        </w:rPr>
        <w:t>, sendo detentor da maioria do capital o locador, seu cônjuge, ascendente ou descendente</w:t>
      </w:r>
      <w:r w:rsidR="00027C4A" w:rsidRPr="00027C4A">
        <w:rPr>
          <w:color w:val="365F91" w:themeColor="accent1" w:themeShade="BF"/>
        </w:rPr>
        <w:t>.</w:t>
      </w:r>
    </w:p>
    <w:p w:rsidR="00AD7FE8" w:rsidRPr="00B9419F" w:rsidRDefault="00AD7FE8" w:rsidP="00B0160E">
      <w:pPr>
        <w:pStyle w:val="PargrafodaLista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9419F">
        <w:rPr>
          <w:rFonts w:asciiTheme="minorHAnsi" w:hAnsiTheme="minorHAnsi"/>
          <w:sz w:val="22"/>
          <w:szCs w:val="22"/>
        </w:rPr>
        <w:t xml:space="preserve">Quais são as restrições aplicadas pelo legislador aos contratos de locação de espaços em </w:t>
      </w:r>
      <w:r w:rsidRPr="00B9419F">
        <w:rPr>
          <w:rFonts w:asciiTheme="minorHAnsi" w:hAnsiTheme="minorHAnsi"/>
          <w:i/>
          <w:sz w:val="22"/>
          <w:szCs w:val="22"/>
        </w:rPr>
        <w:t>shopping centers</w:t>
      </w:r>
      <w:r w:rsidRPr="00B9419F">
        <w:rPr>
          <w:rFonts w:asciiTheme="minorHAnsi" w:hAnsiTheme="minorHAnsi"/>
          <w:sz w:val="22"/>
          <w:szCs w:val="22"/>
        </w:rPr>
        <w:t>?</w:t>
      </w:r>
    </w:p>
    <w:p w:rsidR="00C24337" w:rsidRPr="00C24337" w:rsidRDefault="00C24337" w:rsidP="00B0160E">
      <w:pPr>
        <w:ind w:left="426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Embora seja possível o rateio de algumas despesas, a LI não permite que se proceda ao rateio das seguintes </w:t>
      </w:r>
      <w:r w:rsidRPr="00C24337">
        <w:rPr>
          <w:color w:val="365F91" w:themeColor="accent1" w:themeShade="BF"/>
        </w:rPr>
        <w:t>despesas:</w:t>
      </w:r>
    </w:p>
    <w:p w:rsidR="00C24337" w:rsidRDefault="00027C4A" w:rsidP="00C24337">
      <w:pPr>
        <w:pStyle w:val="PargrafodaLista"/>
        <w:numPr>
          <w:ilvl w:val="0"/>
          <w:numId w:val="9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>obras</w:t>
      </w:r>
      <w:proofErr w:type="gramEnd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de reforma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ou acréscimos</w:t>
      </w:r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que interessem 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>na estrutura integral do imóvel;</w:t>
      </w:r>
    </w:p>
    <w:p w:rsidR="00C24337" w:rsidRDefault="00027C4A" w:rsidP="00C24337">
      <w:pPr>
        <w:pStyle w:val="PargrafodaLista"/>
        <w:numPr>
          <w:ilvl w:val="0"/>
          <w:numId w:val="9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>pintura</w:t>
      </w:r>
      <w:proofErr w:type="gramEnd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de fachadas,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empenas, poços de aeração e iluminação, bem como as esquadrias externas;</w:t>
      </w:r>
    </w:p>
    <w:p w:rsidR="00C24337" w:rsidRDefault="00027C4A" w:rsidP="00C24337">
      <w:pPr>
        <w:pStyle w:val="PargrafodaLista"/>
        <w:numPr>
          <w:ilvl w:val="0"/>
          <w:numId w:val="9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proofErr w:type="gramStart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>indenizações</w:t>
      </w:r>
      <w:proofErr w:type="gramEnd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trabalhistas e previdenciárias pela dispensa ocorrida em data anterior ao in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>í</w:t>
      </w:r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cio da locação; </w:t>
      </w:r>
    </w:p>
    <w:p w:rsidR="00027C4A" w:rsidRPr="00C24337" w:rsidRDefault="00027C4A" w:rsidP="00C24337">
      <w:pPr>
        <w:pStyle w:val="PargrafodaLista"/>
        <w:numPr>
          <w:ilvl w:val="0"/>
          <w:numId w:val="9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>despesas</w:t>
      </w:r>
      <w:proofErr w:type="gramEnd"/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com obras ou substituição de equipamento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>s</w:t>
      </w:r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que modifiquem projeto ou memorial </w:t>
      </w:r>
      <w:r w:rsidR="00C2433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descritivo </w:t>
      </w:r>
      <w:r w:rsidRPr="00C24337">
        <w:rPr>
          <w:rFonts w:asciiTheme="minorHAnsi" w:hAnsiTheme="minorHAnsi"/>
          <w:color w:val="365F91" w:themeColor="accent1" w:themeShade="BF"/>
          <w:sz w:val="22"/>
          <w:szCs w:val="22"/>
        </w:rPr>
        <w:t>da data do habite-se e obras de paisagismo nas partes comum.</w:t>
      </w:r>
    </w:p>
    <w:p w:rsidR="00B9419F" w:rsidRPr="00C24337" w:rsidRDefault="00C24337" w:rsidP="00B0160E">
      <w:pPr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C24337">
        <w:rPr>
          <w:color w:val="365F91" w:themeColor="accent1" w:themeShade="BF"/>
        </w:rPr>
        <w:t>A lei, como se observa, não permite que se repassem aos lojistas as despesas referidas nas alíneas a, b e d do parágrafo único do art. 22, da LI.</w:t>
      </w:r>
    </w:p>
    <w:p w:rsidR="002F733F" w:rsidRDefault="002F733F" w:rsidP="00B0160E">
      <w:pPr>
        <w:contextualSpacing/>
        <w:rPr>
          <w:b/>
        </w:rPr>
      </w:pPr>
    </w:p>
    <w:p w:rsidR="00C24337" w:rsidRPr="00C24337" w:rsidRDefault="00C24337" w:rsidP="00B0160E">
      <w:pPr>
        <w:contextualSpacing/>
        <w:rPr>
          <w:b/>
        </w:rPr>
      </w:pPr>
    </w:p>
    <w:p w:rsidR="00AD7FE8" w:rsidRPr="002F733F" w:rsidRDefault="00AD7FE8" w:rsidP="001F4984">
      <w:pPr>
        <w:ind w:left="708"/>
        <w:contextualSpacing/>
        <w:jc w:val="center"/>
        <w:rPr>
          <w:b/>
        </w:rPr>
      </w:pPr>
      <w:r w:rsidRPr="0062184D">
        <w:rPr>
          <w:b/>
          <w:highlight w:val="cyan"/>
        </w:rPr>
        <w:t>Aula 3</w:t>
      </w:r>
      <w:r w:rsidR="0062184D" w:rsidRPr="0062184D">
        <w:rPr>
          <w:b/>
          <w:highlight w:val="cyan"/>
        </w:rPr>
        <w:t xml:space="preserve"> – Solidariedade no contrato de locação </w:t>
      </w:r>
      <w:r w:rsidR="00B0160E">
        <w:rPr>
          <w:b/>
          <w:highlight w:val="cyan"/>
        </w:rPr>
        <w:t xml:space="preserve">e contrato </w:t>
      </w:r>
      <w:proofErr w:type="spellStart"/>
      <w:r w:rsidR="00B0160E" w:rsidRPr="00B0160E">
        <w:rPr>
          <w:b/>
          <w:i/>
          <w:highlight w:val="cyan"/>
        </w:rPr>
        <w:t>built</w:t>
      </w:r>
      <w:proofErr w:type="spellEnd"/>
      <w:r w:rsidR="00B0160E" w:rsidRPr="00B0160E">
        <w:rPr>
          <w:b/>
          <w:i/>
          <w:highlight w:val="cyan"/>
        </w:rPr>
        <w:t xml:space="preserve"> </w:t>
      </w:r>
      <w:proofErr w:type="spellStart"/>
      <w:r w:rsidR="00B0160E" w:rsidRPr="00B0160E">
        <w:rPr>
          <w:b/>
          <w:i/>
          <w:highlight w:val="cyan"/>
        </w:rPr>
        <w:t>to</w:t>
      </w:r>
      <w:proofErr w:type="spellEnd"/>
      <w:r w:rsidR="00B0160E" w:rsidRPr="00B0160E">
        <w:rPr>
          <w:b/>
          <w:i/>
          <w:highlight w:val="cyan"/>
        </w:rPr>
        <w:t xml:space="preserve"> </w:t>
      </w:r>
      <w:proofErr w:type="spellStart"/>
      <w:r w:rsidR="00B0160E" w:rsidRPr="00B0160E">
        <w:rPr>
          <w:b/>
          <w:i/>
          <w:highlight w:val="cyan"/>
        </w:rPr>
        <w:t>suit</w:t>
      </w:r>
      <w:proofErr w:type="spellEnd"/>
      <w:r w:rsidR="00B0160E">
        <w:rPr>
          <w:b/>
          <w:highlight w:val="cyan"/>
        </w:rPr>
        <w:t xml:space="preserve"> </w:t>
      </w:r>
      <w:r w:rsidR="0062184D" w:rsidRPr="0062184D">
        <w:rPr>
          <w:b/>
          <w:highlight w:val="cyan"/>
        </w:rPr>
        <w:t>– 13/04/13</w:t>
      </w:r>
    </w:p>
    <w:p w:rsidR="00AD7FE8" w:rsidRPr="002F733F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1</w:t>
      </w:r>
      <w:proofErr w:type="gramEnd"/>
      <w:r w:rsidRPr="002F733F">
        <w:rPr>
          <w:rFonts w:asciiTheme="minorHAnsi" w:hAnsiTheme="minorHAnsi"/>
          <w:sz w:val="22"/>
          <w:szCs w:val="22"/>
        </w:rPr>
        <w:t xml:space="preserve">) É possível, na hipótese de solidariedade ativa, que apenas um locador figure como autor na ação de despejo? </w:t>
      </w:r>
    </w:p>
    <w:p w:rsidR="009B7C9A" w:rsidRPr="002F733F" w:rsidRDefault="002F733F" w:rsidP="001F4984">
      <w:pPr>
        <w:spacing w:after="0"/>
        <w:ind w:left="284"/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R: Na solidariedade ativa, havendo pluralidade de locadores, qualquer deles poderá exigir o aluguel. Porém, se apenas um locador propõe a ação, somente ele poderá receber o valor da divida, ficando responsável perante os demais. Os </w:t>
      </w:r>
      <w:proofErr w:type="spellStart"/>
      <w:proofErr w:type="gramStart"/>
      <w:r w:rsidRPr="002F733F">
        <w:rPr>
          <w:rFonts w:eastAsia="Times New Roman" w:cs="Times New Roman"/>
          <w:color w:val="365F91" w:themeColor="accent1" w:themeShade="BF"/>
          <w:lang w:eastAsia="pt-BR"/>
        </w:rPr>
        <w:t>co-locadores</w:t>
      </w:r>
      <w:proofErr w:type="spellEnd"/>
      <w:proofErr w:type="gram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não precisam estar em litisconsórcio, pois cada um individualmente, estão legitimados a ingressar sozinho em juízo. Já os demais locadores poderão reclamar do locador que recebeu a sua parte.</w:t>
      </w:r>
    </w:p>
    <w:p w:rsidR="00AD7FE8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2</w:t>
      </w:r>
      <w:proofErr w:type="gramEnd"/>
      <w:r w:rsidRPr="002F733F">
        <w:rPr>
          <w:rFonts w:asciiTheme="minorHAnsi" w:hAnsiTheme="minorHAnsi"/>
          <w:sz w:val="22"/>
          <w:szCs w:val="22"/>
        </w:rPr>
        <w:t>) Considerando as especialidades da ação renovatória, é possível qu</w:t>
      </w:r>
      <w:r w:rsidR="006F4140" w:rsidRPr="002F733F">
        <w:rPr>
          <w:rFonts w:asciiTheme="minorHAnsi" w:hAnsiTheme="minorHAnsi"/>
          <w:sz w:val="22"/>
          <w:szCs w:val="22"/>
        </w:rPr>
        <w:t>e apenas um locador figure no po</w:t>
      </w:r>
      <w:r w:rsidRPr="002F733F">
        <w:rPr>
          <w:rFonts w:asciiTheme="minorHAnsi" w:hAnsiTheme="minorHAnsi"/>
          <w:sz w:val="22"/>
          <w:szCs w:val="22"/>
        </w:rPr>
        <w:t xml:space="preserve">lo passivo? </w:t>
      </w:r>
    </w:p>
    <w:p w:rsidR="002F733F" w:rsidRPr="002F733F" w:rsidRDefault="002F733F" w:rsidP="001F4984">
      <w:pPr>
        <w:spacing w:after="0" w:afterAutospacing="0"/>
        <w:ind w:left="284"/>
        <w:contextualSpacing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R: A ação renovatória tem que ser proposta em face de todos os </w:t>
      </w:r>
      <w:proofErr w:type="spellStart"/>
      <w:proofErr w:type="gramStart"/>
      <w:r w:rsidRPr="002F733F">
        <w:rPr>
          <w:rFonts w:eastAsia="Times New Roman" w:cs="Times New Roman"/>
          <w:color w:val="365F91" w:themeColor="accent1" w:themeShade="BF"/>
          <w:lang w:eastAsia="pt-BR"/>
        </w:rPr>
        <w:t>co-locadores</w:t>
      </w:r>
      <w:proofErr w:type="spellEnd"/>
      <w:proofErr w:type="gramEnd"/>
      <w:r w:rsidRPr="002F733F">
        <w:rPr>
          <w:rFonts w:eastAsia="Times New Roman" w:cs="Times New Roman"/>
          <w:color w:val="365F91" w:themeColor="accent1" w:themeShade="BF"/>
          <w:lang w:eastAsia="pt-BR"/>
        </w:rPr>
        <w:t>, por se tratar de hipótese de litisconsórcio passivo necessário, pois os efeitos da sentença irão atingir a todos, em razão da relação jurídica material, nos termos do artigo 47 do Código de Processo Civil.</w:t>
      </w:r>
    </w:p>
    <w:p w:rsidR="002F733F" w:rsidRDefault="002F733F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2F733F" w:rsidRPr="002F733F" w:rsidRDefault="002F733F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7FE8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3</w:t>
      </w:r>
      <w:proofErr w:type="gramEnd"/>
      <w:r w:rsidRPr="002F733F">
        <w:rPr>
          <w:rFonts w:asciiTheme="minorHAnsi" w:hAnsiTheme="minorHAnsi"/>
          <w:sz w:val="22"/>
          <w:szCs w:val="22"/>
        </w:rPr>
        <w:t xml:space="preserve">) Havendo pluralidade de locatários, tem-se no caso hipótese de litisconsórcio facultativo ou necessário? Explique. 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R: O procedimento mais seguro para o locador nos casos de pluralidade de locatários, é ajuizar ação contra um ou mais e notificar os demais judicialmente, para que eles saibam da ação e se quiserem ingressar como parte para emendar a inicial, de acordo com o artigo 46 do Código de Processo Civil, nesse caso a hipótese é de litisconsórcio facultativo.</w:t>
      </w:r>
    </w:p>
    <w:p w:rsidR="002F733F" w:rsidRPr="002F733F" w:rsidRDefault="002F733F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2F733F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4</w:t>
      </w:r>
      <w:proofErr w:type="gramEnd"/>
      <w:r w:rsidRPr="002F733F">
        <w:rPr>
          <w:rFonts w:asciiTheme="minorHAnsi" w:hAnsiTheme="minorHAnsi"/>
          <w:sz w:val="22"/>
          <w:szCs w:val="22"/>
        </w:rPr>
        <w:t>) Quais as principais características que diferenciam o con</w:t>
      </w:r>
      <w:r w:rsidR="002F733F">
        <w:rPr>
          <w:rFonts w:asciiTheme="minorHAnsi" w:hAnsiTheme="minorHAnsi"/>
          <w:sz w:val="22"/>
          <w:szCs w:val="22"/>
        </w:rPr>
        <w:t>trato de locação por encomenda?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R: As principais características são: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a) vigência longeva, normalmente de 10 a 20 anos, tem que compensar o investimento. Acima de 10 anos tem que ter vênia conjugal.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b) Possibilidade de rescisão a qualquer tempo, normalmente com ela vem uma multa muito elevada, mas essa multa não poderá ser superior ao valor total pactuado.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c) Possibilidade de renúncia ao direito de revisão do valor locativo.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lastRenderedPageBreak/>
        <w:t>d) Envolvimento no contrato da figura do locador, construtor e o locatário, inclusive a possibilidade de envolver, também, uma companhia de valores recebíveis para emissão do Certificado de Recebíveis Imobiliários.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>e) Maior incidência de convenções de arbitragem, em razão dos altos valores envolvidos.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f) Aplicação do pacta sunt servanda, o pacto é livre entre as partes desde que respeitadas </w:t>
      </w:r>
      <w:proofErr w:type="gramStart"/>
      <w:r w:rsidRPr="002F733F">
        <w:rPr>
          <w:rFonts w:eastAsia="Times New Roman" w:cs="Times New Roman"/>
          <w:color w:val="365F91" w:themeColor="accent1" w:themeShade="BF"/>
          <w:lang w:eastAsia="pt-BR"/>
        </w:rPr>
        <w:t>as</w:t>
      </w:r>
      <w:proofErr w:type="gram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regras da lei 8.245/91 e do art. 54-A.</w:t>
      </w:r>
    </w:p>
    <w:p w:rsidR="002F733F" w:rsidRDefault="002F733F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7FE8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5</w:t>
      </w:r>
      <w:proofErr w:type="gramEnd"/>
      <w:r w:rsidRPr="002F733F">
        <w:rPr>
          <w:rFonts w:asciiTheme="minorHAnsi" w:hAnsiTheme="minorHAnsi"/>
          <w:sz w:val="22"/>
          <w:szCs w:val="22"/>
        </w:rPr>
        <w:t xml:space="preserve">) Quais críticas podem ser feitas à expressão </w:t>
      </w:r>
      <w:proofErr w:type="spellStart"/>
      <w:r w:rsidRPr="002F733F">
        <w:rPr>
          <w:rFonts w:asciiTheme="minorHAnsi" w:hAnsiTheme="minorHAnsi"/>
          <w:i/>
          <w:iCs/>
          <w:sz w:val="22"/>
          <w:szCs w:val="22"/>
        </w:rPr>
        <w:t>built</w:t>
      </w:r>
      <w:proofErr w:type="spellEnd"/>
      <w:r w:rsidRPr="002F733F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2F733F">
        <w:rPr>
          <w:rFonts w:asciiTheme="minorHAnsi" w:hAnsiTheme="minorHAnsi"/>
          <w:i/>
          <w:iCs/>
          <w:sz w:val="22"/>
          <w:szCs w:val="22"/>
        </w:rPr>
        <w:t>to</w:t>
      </w:r>
      <w:proofErr w:type="spellEnd"/>
      <w:r w:rsidRPr="002F733F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2F733F">
        <w:rPr>
          <w:rFonts w:asciiTheme="minorHAnsi" w:hAnsiTheme="minorHAnsi"/>
          <w:i/>
          <w:iCs/>
          <w:sz w:val="22"/>
          <w:szCs w:val="22"/>
        </w:rPr>
        <w:t>suit</w:t>
      </w:r>
      <w:proofErr w:type="spellEnd"/>
      <w:r w:rsidRPr="002F733F">
        <w:rPr>
          <w:rFonts w:asciiTheme="minorHAnsi" w:hAnsiTheme="minorHAnsi"/>
          <w:sz w:val="22"/>
          <w:szCs w:val="22"/>
        </w:rPr>
        <w:t xml:space="preserve">? </w:t>
      </w:r>
    </w:p>
    <w:p w:rsidR="002F733F" w:rsidRPr="002F733F" w:rsidRDefault="002F733F" w:rsidP="001F4984">
      <w:pPr>
        <w:spacing w:after="0"/>
        <w:ind w:left="284"/>
        <w:rPr>
          <w:rFonts w:eastAsia="Times New Roman" w:cs="Times New Roman"/>
          <w:color w:val="365F91" w:themeColor="accent1" w:themeShade="BF"/>
          <w:lang w:eastAsia="pt-BR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R: Em razão do principio da boa-fé e da função social que devem estar entre qualquer negócio jurídico, a crítica que se faz é que a expressão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built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to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suit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não traduz mais o contrato, a natureza jurídica dessa relação sempre foi muito discutida. Assim, a expressão "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built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to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suit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" já não mais atende ao que o legislador inseriu na lei 8.245/91 no seu artigo 54-A, onde as atividades do locador não se resumem somente a construir, mas sim a reformar, construir e a adquirir imóvel para locação. Portanto, a expressão proposta por Luiz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Antonio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</w:t>
      </w:r>
      <w:proofErr w:type="spellStart"/>
      <w:r w:rsidRPr="002F733F">
        <w:rPr>
          <w:rFonts w:eastAsia="Times New Roman" w:cs="Times New Roman"/>
          <w:color w:val="365F91" w:themeColor="accent1" w:themeShade="BF"/>
          <w:lang w:eastAsia="pt-BR"/>
        </w:rPr>
        <w:t>Scavone</w:t>
      </w:r>
      <w:proofErr w:type="spell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Junior é "Locação por Encomenda".</w:t>
      </w:r>
    </w:p>
    <w:p w:rsidR="002F733F" w:rsidRPr="002F733F" w:rsidRDefault="002F733F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7FE8" w:rsidRPr="002F733F" w:rsidRDefault="00AD7FE8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2F733F">
        <w:rPr>
          <w:rFonts w:asciiTheme="minorHAnsi" w:hAnsiTheme="minorHAnsi"/>
          <w:sz w:val="22"/>
          <w:szCs w:val="22"/>
        </w:rPr>
        <w:t>6</w:t>
      </w:r>
      <w:proofErr w:type="gramEnd"/>
      <w:r w:rsidRPr="002F733F">
        <w:rPr>
          <w:rFonts w:asciiTheme="minorHAnsi" w:hAnsiTheme="minorHAnsi"/>
          <w:sz w:val="22"/>
          <w:szCs w:val="22"/>
        </w:rPr>
        <w:t>) É constitucional a possibilidade de renúncia ao direito à revisional de aluguel?</w:t>
      </w:r>
    </w:p>
    <w:p w:rsidR="002F733F" w:rsidRPr="002F733F" w:rsidRDefault="002F733F" w:rsidP="001F4984">
      <w:pPr>
        <w:spacing w:after="0"/>
        <w:ind w:left="284"/>
        <w:rPr>
          <w:color w:val="365F91" w:themeColor="accent1" w:themeShade="BF"/>
        </w:rPr>
      </w:pPr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R: A renúncia ao direito à revisional de aluguel não viola o artigo 19 e nem o artigo 45, ambos da lei 8.245/91, e muito menos a Súmula 357 do STF, pois o valor da locação feita </w:t>
      </w:r>
      <w:proofErr w:type="gramStart"/>
      <w:r w:rsidRPr="002F733F">
        <w:rPr>
          <w:rFonts w:eastAsia="Times New Roman" w:cs="Times New Roman"/>
          <w:color w:val="365F91" w:themeColor="accent1" w:themeShade="BF"/>
          <w:lang w:eastAsia="pt-BR"/>
        </w:rPr>
        <w:t>sob encomenda</w:t>
      </w:r>
      <w:proofErr w:type="gramEnd"/>
      <w:r w:rsidRPr="002F733F">
        <w:rPr>
          <w:rFonts w:eastAsia="Times New Roman" w:cs="Times New Roman"/>
          <w:color w:val="365F91" w:themeColor="accent1" w:themeShade="BF"/>
          <w:lang w:eastAsia="pt-BR"/>
        </w:rPr>
        <w:t xml:space="preserve"> tem que justificar o investimento feito pelo locador, desde que esta renúncia esteja expressa no contrato.</w:t>
      </w:r>
    </w:p>
    <w:p w:rsidR="006F4140" w:rsidRPr="002F733F" w:rsidRDefault="006F4140" w:rsidP="00B0160E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6F4140" w:rsidRPr="0062184D" w:rsidRDefault="006F4140" w:rsidP="001F4984">
      <w:pPr>
        <w:pStyle w:val="Defaul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2184D">
        <w:rPr>
          <w:rFonts w:asciiTheme="minorHAnsi" w:hAnsiTheme="minorHAnsi"/>
          <w:b/>
          <w:sz w:val="22"/>
          <w:szCs w:val="22"/>
          <w:highlight w:val="cyan"/>
        </w:rPr>
        <w:t>Aula 4</w:t>
      </w:r>
      <w:proofErr w:type="gramStart"/>
      <w:r w:rsidRPr="0062184D">
        <w:rPr>
          <w:rFonts w:asciiTheme="minorHAnsi" w:hAnsiTheme="minorHAnsi"/>
          <w:b/>
          <w:sz w:val="22"/>
          <w:szCs w:val="22"/>
          <w:highlight w:val="cyan"/>
        </w:rPr>
        <w:t xml:space="preserve"> </w:t>
      </w:r>
      <w:r w:rsidR="002F733F" w:rsidRPr="0062184D">
        <w:rPr>
          <w:rFonts w:asciiTheme="minorHAnsi" w:hAnsiTheme="minorHAnsi"/>
          <w:b/>
          <w:sz w:val="22"/>
          <w:szCs w:val="22"/>
          <w:highlight w:val="cyan"/>
        </w:rPr>
        <w:t xml:space="preserve"> </w:t>
      </w:r>
      <w:proofErr w:type="gramEnd"/>
      <w:r w:rsidR="002F733F" w:rsidRPr="0062184D">
        <w:rPr>
          <w:rFonts w:asciiTheme="minorHAnsi" w:hAnsiTheme="minorHAnsi"/>
          <w:b/>
          <w:sz w:val="22"/>
          <w:szCs w:val="22"/>
          <w:highlight w:val="cyan"/>
        </w:rPr>
        <w:t>-</w:t>
      </w:r>
      <w:r w:rsidR="00CD0265" w:rsidRPr="0062184D">
        <w:rPr>
          <w:rFonts w:asciiTheme="minorHAnsi" w:hAnsiTheme="minorHAnsi"/>
          <w:b/>
          <w:sz w:val="22"/>
          <w:szCs w:val="22"/>
          <w:highlight w:val="cyan"/>
        </w:rPr>
        <w:t xml:space="preserve"> Ação de despejo I e II - </w:t>
      </w:r>
      <w:r w:rsidR="002F733F" w:rsidRPr="0062184D">
        <w:rPr>
          <w:rFonts w:asciiTheme="minorHAnsi" w:hAnsiTheme="minorHAnsi"/>
          <w:b/>
          <w:sz w:val="22"/>
          <w:szCs w:val="22"/>
          <w:highlight w:val="cyan"/>
        </w:rPr>
        <w:t xml:space="preserve"> </w:t>
      </w:r>
      <w:r w:rsidR="0062184D">
        <w:rPr>
          <w:rFonts w:asciiTheme="minorHAnsi" w:eastAsia="Times New Roman" w:hAnsiTheme="minorHAnsi" w:cs="Times New Roman"/>
          <w:b/>
          <w:sz w:val="22"/>
          <w:szCs w:val="22"/>
          <w:highlight w:val="cyan"/>
          <w:lang w:eastAsia="pt-BR"/>
        </w:rPr>
        <w:t>11/05/13</w:t>
      </w:r>
    </w:p>
    <w:p w:rsidR="006F4140" w:rsidRPr="002F733F" w:rsidRDefault="006F4140" w:rsidP="00B0160E">
      <w:pPr>
        <w:spacing w:before="0" w:beforeAutospacing="0" w:after="0" w:afterAutospacing="0"/>
        <w:contextualSpacing/>
        <w:rPr>
          <w:rFonts w:eastAsia="Times New Roman" w:cs="Times New Roman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É possível afirmar que nas ações de despejo caberá a concessão de medidas antecipatórias não relacionadas no art. 59 da Lei de Locações? </w:t>
      </w:r>
    </w:p>
    <w:p w:rsidR="00CD0265" w:rsidRPr="00AF3B2C" w:rsidRDefault="00CD0265" w:rsidP="00B0160E">
      <w:pPr>
        <w:ind w:left="360"/>
        <w:contextualSpacing/>
        <w:rPr>
          <w:color w:val="0070C0"/>
        </w:rPr>
      </w:pPr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Resposta: 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Existe corrente doutrinária convicta na possibilidade de antecipação de tutela de mérito nas ações locatícias fora das hipóteses do </w:t>
      </w:r>
      <w:proofErr w:type="spellStart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art</w:t>
      </w:r>
      <w:proofErr w:type="spellEnd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º 59</w:t>
      </w:r>
      <w:proofErr w:type="gramStart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 </w:t>
      </w:r>
      <w:proofErr w:type="gramEnd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da Lei de Locações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</w:t>
      </w:r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desde que presentes os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pressupostos </w:t>
      </w:r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do </w:t>
      </w:r>
      <w:proofErr w:type="spellStart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art</w:t>
      </w:r>
      <w:proofErr w:type="spellEnd"/>
      <w:r w:rsidRPr="003D683A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º 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273 do Código de Processo Civil e  oferecida a caução pelo locador. Mas conforme explicado pelo nosso nobre professor </w:t>
      </w:r>
      <w:proofErr w:type="gram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</w:t>
      </w:r>
      <w:proofErr w:type="gram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ação de despejo com pedido de liminar deve estar atrelada a um dos fundamentos do </w:t>
      </w:r>
      <w:proofErr w:type="spellStart"/>
      <w:r w:rsidRPr="00AF3B2C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art</w:t>
      </w:r>
      <w:proofErr w:type="spellEnd"/>
      <w:r>
        <w:rPr>
          <w:color w:val="0070C0"/>
        </w:rPr>
        <w:t>º 59, §1º da Lei de L</w:t>
      </w:r>
      <w:r w:rsidRPr="00AF3B2C">
        <w:rPr>
          <w:color w:val="0070C0"/>
        </w:rPr>
        <w:t>ocações</w:t>
      </w:r>
      <w:r>
        <w:rPr>
          <w:color w:val="0070C0"/>
        </w:rPr>
        <w:t>.</w:t>
      </w:r>
    </w:p>
    <w:p w:rsidR="00CD0265" w:rsidRPr="005F230C" w:rsidRDefault="00CD0265" w:rsidP="00B0160E">
      <w:p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080039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A ação de despejo possui condições diversas daquelas relacionadas no Código de Processo Civil? 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 </w:t>
      </w:r>
    </w:p>
    <w:p w:rsidR="00CD0265" w:rsidRPr="004A2DDD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 w:rsidRPr="004A2DD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Sim, porém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,</w:t>
      </w:r>
      <w:r w:rsidRPr="004A2DD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no que for omissa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,</w:t>
      </w:r>
      <w:r w:rsidRPr="004A2DD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aplicam-se as normas do Código de Processo Civil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, conforme </w:t>
      </w:r>
      <w:proofErr w:type="spell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art</w:t>
      </w:r>
      <w:proofErr w:type="spell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º 79 Lei do Inquilinato.</w:t>
      </w:r>
    </w:p>
    <w:p w:rsidR="00CD0265" w:rsidRPr="005F230C" w:rsidRDefault="00CD0265" w:rsidP="00B0160E">
      <w:p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Toda e qualquer locação está sujeita às ações de despejo? </w:t>
      </w:r>
    </w:p>
    <w:p w:rsidR="00CD0265" w:rsidRPr="00BE27A8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 w:rsidRPr="00BE27A8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Não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somente a locação de imóveis urbano regulada pelo disposto na Lei 8245/91</w:t>
      </w:r>
    </w:p>
    <w:p w:rsidR="00CD0265" w:rsidRPr="005F230C" w:rsidRDefault="00CD0265" w:rsidP="00B0160E">
      <w:p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É possível afirmar que a notificação premonitória é sempre um requisito específico para o ajuizamento de ações de despejo? 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A</w:t>
      </w:r>
      <w:r w:rsidRPr="006406B4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notificação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premonitória</w:t>
      </w:r>
      <w:r w:rsidRPr="006406B4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é um requisito para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compor </w:t>
      </w:r>
      <w:r w:rsidRPr="006406B4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o interesse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de agir do locador, podendo se afirmar que sempre que </w:t>
      </w:r>
      <w:proofErr w:type="gram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o contrato se encerrar e a ação não for</w:t>
      </w:r>
      <w:proofErr w:type="gram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proposta nos 30 dias subsequentes, torna-se necessária a notificação.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Nos contratos celebrados verbalmente ou por prazo inferior a 30 meses, em que a locação dura mais de 05 anos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,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a notificação é obrigatória com prazo de 30 dias para desocupação.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Exige-se também a notificação nos seguintes casos: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a) despejo por extinção de usufruto ou fideicomisso;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b) alienação do imóvel durante a locação;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c) fim da locação residencial de prazo superior a 30 meses, após trinta dias de vencimento do prazo contratual;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d) despejo na locação não residencial, após 30 dias do fim do contrato;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e) despejo de locação iniciada antes da Lei de Locações se vi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gorando por prazo indeterminado.</w:t>
      </w:r>
    </w:p>
    <w:p w:rsidR="00CD0265" w:rsidRP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lastRenderedPageBreak/>
        <w:t xml:space="preserve">Não atendida </w:t>
      </w:r>
      <w:proofErr w:type="gramStart"/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>a</w:t>
      </w:r>
      <w:proofErr w:type="gramEnd"/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 notificação premonitória, qual será o prazo para propositura da ação de despejo? 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Embora 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exista prazo para a desocupação espontânea, não há prazo para propositura da ação, de tal forma que de um lado deve o locador propô-la rapidamente, </w:t>
      </w:r>
      <w:proofErr w:type="gram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sob pena</w:t>
      </w:r>
      <w:proofErr w:type="gram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de ser considerado que se perdeu o interesse na desocupação e o contrato se prorrogou por prazo indeterminado.</w:t>
      </w:r>
    </w:p>
    <w:p w:rsidR="00CD0265" w:rsidRPr="00137D8B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Relacione os casos em que a propriedade é </w:t>
      </w:r>
      <w:r w:rsidRPr="005F230C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pt-BR"/>
        </w:rPr>
        <w:t xml:space="preserve">conditio </w:t>
      </w:r>
      <w:proofErr w:type="spellStart"/>
      <w:r w:rsidRPr="005F230C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pt-BR"/>
        </w:rPr>
        <w:t>sine</w:t>
      </w:r>
      <w:proofErr w:type="spellEnd"/>
      <w:r w:rsidRPr="005F230C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pt-BR"/>
        </w:rPr>
        <w:t xml:space="preserve"> </w:t>
      </w:r>
      <w:proofErr w:type="spellStart"/>
      <w:r w:rsidRPr="005F230C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pt-BR"/>
        </w:rPr>
        <w:t>qua</w:t>
      </w:r>
      <w:proofErr w:type="spellEnd"/>
      <w:r w:rsidRPr="005F230C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pt-BR"/>
        </w:rPr>
        <w:t xml:space="preserve"> non </w:t>
      </w: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para a propositura da ação de despejo. </w:t>
      </w: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Ações de despejo em face de hospitais, unidades sanitárias oficiais, asilos, estabelecimentos de saúde e de ensino autorizados, entidades religiosas registradas, quando o despejo é fundado em demolição, edificação licenciada ou reforma que aumente 50% da área útil;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Nas</w:t>
      </w:r>
      <w:proofErr w:type="gramStart"/>
      <w:r>
        <w:rPr>
          <w:rFonts w:ascii="Calibri" w:hAnsi="Calibri" w:cs="Calibri"/>
          <w:color w:val="0070C0"/>
          <w:sz w:val="21"/>
          <w:szCs w:val="21"/>
        </w:rPr>
        <w:t xml:space="preserve">  </w:t>
      </w:r>
      <w:proofErr w:type="gramEnd"/>
      <w:r>
        <w:rPr>
          <w:rFonts w:ascii="Calibri" w:hAnsi="Calibri" w:cs="Calibri"/>
          <w:color w:val="0070C0"/>
          <w:sz w:val="21"/>
          <w:szCs w:val="21"/>
        </w:rPr>
        <w:t xml:space="preserve">ações de despejo relativas a contratos de locação verbal ou escritos inferiores a 30 meses, com denúncia cheia para uso próprio do cônjuge, companheiro, ascendente ou descendente ou nesses contratos para demolição e edificação que aumentem </w:t>
      </w:r>
      <w:proofErr w:type="spellStart"/>
      <w:r>
        <w:rPr>
          <w:rFonts w:ascii="Calibri" w:hAnsi="Calibri" w:cs="Calibri"/>
          <w:color w:val="0070C0"/>
          <w:sz w:val="21"/>
          <w:szCs w:val="21"/>
        </w:rPr>
        <w:t>area</w:t>
      </w:r>
      <w:proofErr w:type="spellEnd"/>
      <w:r>
        <w:rPr>
          <w:rFonts w:ascii="Calibri" w:hAnsi="Calibri" w:cs="Calibri"/>
          <w:color w:val="0070C0"/>
          <w:sz w:val="21"/>
          <w:szCs w:val="21"/>
        </w:rPr>
        <w:t xml:space="preserve"> construída em 20%, salvo hotéis, quando o aumento da área será de 50%.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Realização de obras urgentes, determinadas pelo Poder Público, quando não for possível a permanência do locatário;</w:t>
      </w:r>
    </w:p>
    <w:p w:rsidR="00CD0265" w:rsidRPr="005026A8" w:rsidRDefault="00CD0265" w:rsidP="00B0160E">
      <w:pPr>
        <w:pStyle w:val="PargrafodaLista"/>
        <w:ind w:left="36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É possível substituir a ação de despejo pela ação de reintegração de posse? </w:t>
      </w:r>
      <w:r w:rsidRPr="00080039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Explique. 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O legislador deixa evidente no </w:t>
      </w:r>
      <w:proofErr w:type="spell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art</w:t>
      </w:r>
      <w:proofErr w:type="spell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º </w:t>
      </w:r>
      <w:proofErr w:type="gram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5</w:t>
      </w:r>
      <w:proofErr w:type="gram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da Lei de Locações que qualquer que seja o fundamento, para reaver o imóvel a ação cabível será a ação de despejo.</w:t>
      </w:r>
      <w:r w:rsidR="00C144A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</w:t>
      </w:r>
      <w:r w:rsidR="00C144AD" w:rsidRPr="00C144A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sym w:font="Wingdings" w:char="F0E0"/>
      </w:r>
      <w:r w:rsidR="00C144AD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Vale para a locação de imóvel urbano.</w:t>
      </w:r>
    </w:p>
    <w:p w:rsidR="00DA3B41" w:rsidRDefault="00CD0265" w:rsidP="00B0160E">
      <w:pPr>
        <w:spacing w:after="0" w:line="360" w:lineRule="auto"/>
        <w:contextualSpacing/>
        <w:rPr>
          <w:rFonts w:eastAsia="Times New Roman" w:cs="Arial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Sim, nos casos das hipóteses de locação elencadas no parágrafo único, do art. 1º, da Lei 8.245/921, </w:t>
      </w:r>
      <w:r w:rsidR="00C144AD">
        <w:rPr>
          <w:rFonts w:eastAsia="Times New Roman" w:cs="Arial"/>
          <w:color w:val="4F6228" w:themeColor="accent3" w:themeShade="80"/>
          <w:lang w:eastAsia="pt-BR"/>
        </w:rPr>
        <w:t xml:space="preserve">QUE CONTINUAM A </w:t>
      </w:r>
      <w:proofErr w:type="gramStart"/>
      <w:r w:rsidR="00C144AD">
        <w:rPr>
          <w:rFonts w:eastAsia="Times New Roman" w:cs="Arial"/>
          <w:color w:val="4F6228" w:themeColor="accent3" w:themeShade="80"/>
          <w:lang w:eastAsia="pt-BR"/>
        </w:rPr>
        <w:t>SER</w:t>
      </w:r>
      <w:proofErr w:type="gramEnd"/>
      <w:r w:rsidR="00C144AD">
        <w:rPr>
          <w:rFonts w:eastAsia="Times New Roman" w:cs="Arial"/>
          <w:color w:val="4F6228" w:themeColor="accent3" w:themeShade="80"/>
          <w:lang w:eastAsia="pt-BR"/>
        </w:rPr>
        <w:t xml:space="preserve"> REGULADAS PELO CÓDIGO CIVIL E POR LEIS ESPECIAIS, </w:t>
      </w:r>
      <w:r w:rsidRPr="00453EA4">
        <w:rPr>
          <w:rFonts w:eastAsia="Times New Roman" w:cs="Arial"/>
          <w:color w:val="4F6228" w:themeColor="accent3" w:themeShade="80"/>
          <w:lang w:eastAsia="pt-BR"/>
        </w:rPr>
        <w:t>quais sejam: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1. </w:t>
      </w:r>
      <w:proofErr w:type="gramStart"/>
      <w:r w:rsidRPr="00453EA4">
        <w:rPr>
          <w:rFonts w:eastAsia="Times New Roman" w:cs="Arial"/>
          <w:color w:val="4F6228" w:themeColor="accent3" w:themeShade="80"/>
          <w:lang w:eastAsia="pt-BR"/>
        </w:rPr>
        <w:t>de</w:t>
      </w:r>
      <w:proofErr w:type="gramEnd"/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 imóveis de propriedade da União, dos Estados e dos Municípios, de suas autarquias e fundações públicas;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2. </w:t>
      </w:r>
      <w:proofErr w:type="gramStart"/>
      <w:r w:rsidRPr="00453EA4">
        <w:rPr>
          <w:rFonts w:eastAsia="Times New Roman" w:cs="Arial"/>
          <w:color w:val="4F6228" w:themeColor="accent3" w:themeShade="80"/>
          <w:lang w:eastAsia="pt-BR"/>
        </w:rPr>
        <w:t>de</w:t>
      </w:r>
      <w:proofErr w:type="gramEnd"/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 vagas autônomas de garagem ou de espaços para estacionamento de veículos;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3. </w:t>
      </w:r>
      <w:proofErr w:type="gramStart"/>
      <w:r w:rsidRPr="00453EA4">
        <w:rPr>
          <w:rFonts w:eastAsia="Times New Roman" w:cs="Arial"/>
          <w:color w:val="4F6228" w:themeColor="accent3" w:themeShade="80"/>
          <w:lang w:eastAsia="pt-BR"/>
        </w:rPr>
        <w:t>de</w:t>
      </w:r>
      <w:proofErr w:type="gramEnd"/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 espaços destinados à publicidade;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4. </w:t>
      </w:r>
      <w:proofErr w:type="gramStart"/>
      <w:r w:rsidRPr="00453EA4">
        <w:rPr>
          <w:rFonts w:eastAsia="Times New Roman" w:cs="Arial"/>
          <w:color w:val="4F6228" w:themeColor="accent3" w:themeShade="80"/>
          <w:lang w:eastAsia="pt-BR"/>
        </w:rPr>
        <w:t>em</w:t>
      </w:r>
      <w:proofErr w:type="gramEnd"/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 apart-hotéis, hotéis-residência ou equiparados, assim considerados aqueles que prestam serviços regulares a seus usuários e como tais sejam autorizados a funcionar.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color w:val="4F6228" w:themeColor="accent3" w:themeShade="80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>            Em regra, a retomada dos imóveis nessas hipóteses se dará pela reintegração de posse.</w:t>
      </w:r>
    </w:p>
    <w:p w:rsidR="00CD0265" w:rsidRPr="00453EA4" w:rsidRDefault="00CD0265" w:rsidP="00B0160E">
      <w:pPr>
        <w:spacing w:after="0" w:line="360" w:lineRule="auto"/>
        <w:contextualSpacing/>
        <w:rPr>
          <w:rFonts w:eastAsia="Times New Roman" w:cs="Times New Roman"/>
          <w:lang w:eastAsia="pt-BR"/>
        </w:rPr>
      </w:pP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            Nas demais locações, muito embora possa haver esbulho possessório caso o locatário não devolva o imóvel ao locador no término da locação, o art. 5º, da LI determina que: </w:t>
      </w:r>
      <w:r w:rsidRPr="00453EA4">
        <w:rPr>
          <w:rFonts w:eastAsia="Times New Roman" w:cs="Arial"/>
          <w:i/>
          <w:iCs/>
          <w:color w:val="4F6228" w:themeColor="accent3" w:themeShade="80"/>
          <w:lang w:eastAsia="pt-BR"/>
        </w:rPr>
        <w:t xml:space="preserve">“Art. 5º. Seja qual for o fundamento do término da locação, </w:t>
      </w:r>
      <w:r w:rsidRPr="00453EA4">
        <w:rPr>
          <w:rFonts w:eastAsia="Times New Roman" w:cs="Arial"/>
          <w:b/>
          <w:bCs/>
          <w:i/>
          <w:iCs/>
          <w:color w:val="4F6228" w:themeColor="accent3" w:themeShade="80"/>
          <w:u w:val="single"/>
          <w:lang w:eastAsia="pt-BR"/>
        </w:rPr>
        <w:t>a ação do locador para reaver o imóvel é a de despejo</w:t>
      </w:r>
      <w:r w:rsidRPr="00453EA4">
        <w:rPr>
          <w:rFonts w:eastAsia="Times New Roman" w:cs="Arial"/>
          <w:i/>
          <w:iCs/>
          <w:color w:val="4F6228" w:themeColor="accent3" w:themeShade="80"/>
          <w:lang w:eastAsia="pt-BR"/>
        </w:rPr>
        <w:t>.”</w:t>
      </w:r>
      <w:r w:rsidRPr="00453EA4">
        <w:rPr>
          <w:rFonts w:eastAsia="Times New Roman" w:cs="Arial"/>
          <w:color w:val="4F6228" w:themeColor="accent3" w:themeShade="80"/>
          <w:lang w:eastAsia="pt-BR"/>
        </w:rPr>
        <w:t xml:space="preserve">, excepcionando ainda no caso de locação findada por desapropriação, conforme prevê o parágrafo único do mesmo artigo: </w:t>
      </w:r>
      <w:r w:rsidRPr="00453EA4">
        <w:rPr>
          <w:rFonts w:eastAsia="Times New Roman" w:cs="Arial"/>
          <w:i/>
          <w:iCs/>
          <w:color w:val="4F6228" w:themeColor="accent3" w:themeShade="80"/>
          <w:lang w:eastAsia="pt-BR"/>
        </w:rPr>
        <w:t>“Parágrafo único. O disposto neste artigo não se aplica se a locação termina em decorrência de desapropriação, com a imissão do expropriante na posse do imóvel.</w:t>
      </w:r>
      <w:proofErr w:type="gramStart"/>
      <w:r w:rsidRPr="00453EA4">
        <w:rPr>
          <w:rFonts w:eastAsia="Times New Roman" w:cs="Arial"/>
          <w:i/>
          <w:iCs/>
          <w:color w:val="4F6228" w:themeColor="accent3" w:themeShade="80"/>
          <w:lang w:eastAsia="pt-BR"/>
        </w:rPr>
        <w:t>”</w:t>
      </w:r>
      <w:proofErr w:type="gramEnd"/>
    </w:p>
    <w:p w:rsidR="00CD0265" w:rsidRPr="005C073F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Para se beneficiar da possibilidade de liminar na ação de despejo, pode o locador optar por deixar de ter garantias contratuais? </w:t>
      </w:r>
    </w:p>
    <w:p w:rsidR="00CD0265" w:rsidRPr="00DA3B41" w:rsidRDefault="00CD0265" w:rsidP="00B0160E">
      <w:pPr>
        <w:contextualSpacing/>
        <w:rPr>
          <w:color w:val="365F91" w:themeColor="accent1" w:themeShade="BF"/>
        </w:rPr>
      </w:pPr>
      <w:r w:rsidRPr="00DA3B41">
        <w:rPr>
          <w:color w:val="365F91" w:themeColor="accent1" w:themeShade="BF"/>
        </w:rPr>
        <w:t xml:space="preserve">Sim. O locador pode optar por deixar de pedir garantias para obtenção de liminar </w:t>
      </w:r>
      <w:r w:rsidR="00C144AD" w:rsidRPr="00DA3B41">
        <w:rPr>
          <w:color w:val="365F91" w:themeColor="accent1" w:themeShade="BF"/>
        </w:rPr>
        <w:t xml:space="preserve">para desocupação do imóvel em 15 dias </w:t>
      </w:r>
      <w:r w:rsidRPr="00DA3B41">
        <w:rPr>
          <w:color w:val="365F91" w:themeColor="accent1" w:themeShade="BF"/>
        </w:rPr>
        <w:t>em eventual ação de despejo, nos termos do artigo 59, parágraf</w:t>
      </w:r>
      <w:r w:rsidR="00C144AD" w:rsidRPr="00DA3B41">
        <w:rPr>
          <w:color w:val="365F91" w:themeColor="accent1" w:themeShade="BF"/>
        </w:rPr>
        <w:t>o primeiro, IX da Lei 8245/91.</w:t>
      </w:r>
    </w:p>
    <w:p w:rsidR="00CD0265" w:rsidRPr="00A737D0" w:rsidRDefault="00CD0265" w:rsidP="00B0160E">
      <w:pPr>
        <w:ind w:left="349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</w:p>
    <w:p w:rsidR="00CD0265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Há variação legal no prazo para desocupação do imóvel? </w:t>
      </w:r>
    </w:p>
    <w:p w:rsidR="00CD0265" w:rsidRDefault="00CD0265" w:rsidP="00B0160E">
      <w:pPr>
        <w:ind w:left="360"/>
        <w:contextualSpacing/>
        <w:rPr>
          <w:rFonts w:ascii="Calibri" w:eastAsia="Times New Roman" w:hAnsi="Calibri" w:cs="Calibri"/>
          <w:color w:val="0070C0"/>
          <w:sz w:val="21"/>
          <w:szCs w:val="21"/>
          <w:lang w:eastAsia="pt-BR"/>
        </w:rPr>
      </w:pPr>
      <w:r w:rsidRPr="00034C7B"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Resposta:</w:t>
      </w:r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A regra geral é que a desocupação ocorra em até</w:t>
      </w:r>
      <w:proofErr w:type="gramStart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 xml:space="preserve">  </w:t>
      </w:r>
      <w:proofErr w:type="gramEnd"/>
      <w:r>
        <w:rPr>
          <w:rFonts w:ascii="Calibri" w:eastAsia="Times New Roman" w:hAnsi="Calibri" w:cs="Calibri"/>
          <w:color w:val="0070C0"/>
          <w:sz w:val="21"/>
          <w:szCs w:val="21"/>
          <w:lang w:eastAsia="pt-BR"/>
        </w:rPr>
        <w:t>30 dias, exceto nas seguintes situações:</w:t>
      </w: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15 dias: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 despejo liminar;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-mais de 04 meses entre a citação e a sentença;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-despejo por falta de pagamento;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lastRenderedPageBreak/>
        <w:t>-despejo por infração legal ou contratual;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-descumprimento do mútuo acordo;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-realização de obras urgentes determinadas ou não pelo poder público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-denúncia vazia.</w:t>
      </w:r>
      <w:r>
        <w:rPr>
          <w:rFonts w:ascii="Calibri" w:hAnsi="Calibri" w:cs="Calibri"/>
          <w:color w:val="0070C0"/>
          <w:sz w:val="21"/>
          <w:szCs w:val="21"/>
        </w:rPr>
        <w:tab/>
      </w:r>
      <w:r>
        <w:rPr>
          <w:rFonts w:ascii="Calibri" w:hAnsi="Calibri" w:cs="Calibri"/>
          <w:color w:val="0070C0"/>
          <w:sz w:val="21"/>
          <w:szCs w:val="21"/>
        </w:rPr>
        <w:tab/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proofErr w:type="gramStart"/>
      <w:r>
        <w:rPr>
          <w:rFonts w:ascii="Calibri" w:hAnsi="Calibri" w:cs="Calibri"/>
          <w:color w:val="0070C0"/>
          <w:sz w:val="21"/>
          <w:szCs w:val="21"/>
        </w:rPr>
        <w:t>6</w:t>
      </w:r>
      <w:proofErr w:type="gramEnd"/>
      <w:r>
        <w:rPr>
          <w:rFonts w:ascii="Calibri" w:hAnsi="Calibri" w:cs="Calibri"/>
          <w:color w:val="0070C0"/>
          <w:sz w:val="21"/>
          <w:szCs w:val="21"/>
        </w:rPr>
        <w:t xml:space="preserve"> MESES A 01 ANO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-Estabelecimento de ensino autorizado.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01 ano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-hospitais;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-repartições públicas;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-asilos;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Estabelecimento de ensino autorizado (reparação determinada pelo Poder Público que</w:t>
      </w:r>
      <w:proofErr w:type="gramStart"/>
      <w:r>
        <w:rPr>
          <w:rFonts w:ascii="Calibri" w:hAnsi="Calibri" w:cs="Calibri"/>
          <w:color w:val="0070C0"/>
          <w:sz w:val="21"/>
          <w:szCs w:val="21"/>
        </w:rPr>
        <w:t xml:space="preserve">  </w:t>
      </w:r>
      <w:proofErr w:type="gramEnd"/>
      <w:r>
        <w:rPr>
          <w:rFonts w:ascii="Calibri" w:hAnsi="Calibri" w:cs="Calibri"/>
          <w:color w:val="0070C0"/>
          <w:sz w:val="21"/>
          <w:szCs w:val="21"/>
        </w:rPr>
        <w:t>aumenta em mais de 50% ou demolição ou edificação.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06 meses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-na situação do item anterior, se entre a citação e a sentença decorreu mais de um ano;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CD0265" w:rsidRDefault="00CD0265" w:rsidP="00B0160E">
      <w:pPr>
        <w:pStyle w:val="PargrafodaLista"/>
        <w:numPr>
          <w:ilvl w:val="1"/>
          <w:numId w:val="3"/>
        </w:numPr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06 meses se o réu concorda com a desocupação, a partir da citação: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-locação residencial por escrito com prazo superior a 30 meses, prorrogada por prazo indeterminado;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-denúncia vazia, após notificação para desocupação em 30 dias;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-locação residencial celebrada verbalmente ou por escrito em prazo inferior a 30 meses;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>-pedido para uso próprio ou para edificação que aumente a utilização do imóvel;</w:t>
      </w:r>
    </w:p>
    <w:p w:rsidR="00CD0265" w:rsidRDefault="00CD0265" w:rsidP="00B0160E">
      <w:pPr>
        <w:pStyle w:val="PargrafodaLista"/>
        <w:spacing w:before="100" w:beforeAutospacing="1" w:after="100" w:afterAutospacing="1"/>
        <w:ind w:left="1080"/>
        <w:jc w:val="both"/>
        <w:rPr>
          <w:rFonts w:ascii="Calibri" w:hAnsi="Calibri" w:cs="Calibri"/>
          <w:color w:val="0070C0"/>
          <w:sz w:val="21"/>
          <w:szCs w:val="21"/>
        </w:rPr>
      </w:pPr>
      <w:r>
        <w:rPr>
          <w:rFonts w:ascii="Calibri" w:hAnsi="Calibri" w:cs="Calibri"/>
          <w:color w:val="0070C0"/>
          <w:sz w:val="21"/>
          <w:szCs w:val="21"/>
        </w:rPr>
        <w:t xml:space="preserve"> </w:t>
      </w:r>
    </w:p>
    <w:p w:rsidR="00CD0265" w:rsidRPr="005F230C" w:rsidRDefault="00CD0265" w:rsidP="00B0160E">
      <w:pPr>
        <w:numPr>
          <w:ilvl w:val="0"/>
          <w:numId w:val="3"/>
        </w:numPr>
        <w:ind w:left="360"/>
        <w:contextualSpacing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>Quais as consequências do abando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>no</w:t>
      </w:r>
      <w:r w:rsidRPr="005F230C">
        <w:rPr>
          <w:rFonts w:ascii="Calibri" w:eastAsia="Times New Roman" w:hAnsi="Calibri" w:cs="Calibri"/>
          <w:color w:val="000000"/>
          <w:sz w:val="21"/>
          <w:szCs w:val="21"/>
          <w:lang w:eastAsia="pt-BR"/>
        </w:rPr>
        <w:t xml:space="preserve"> do imóvel pelo locatário?</w:t>
      </w:r>
    </w:p>
    <w:p w:rsidR="00CD0265" w:rsidRDefault="00B9419F" w:rsidP="00B0160E">
      <w:pPr>
        <w:ind w:left="349"/>
        <w:contextualSpacing/>
        <w:rPr>
          <w:color w:val="0070C0"/>
        </w:rPr>
      </w:pPr>
      <w:r>
        <w:rPr>
          <w:color w:val="0070C0"/>
        </w:rPr>
        <w:t>Com o</w:t>
      </w:r>
      <w:r w:rsidR="00CD0265">
        <w:rPr>
          <w:color w:val="0070C0"/>
        </w:rPr>
        <w:t xml:space="preserve"> abandono do imóvel pelo locatário estar-se-á renunciando à posse indireta do imóvel.</w:t>
      </w:r>
    </w:p>
    <w:p w:rsidR="00CD0265" w:rsidRPr="007F1135" w:rsidRDefault="00CD0265" w:rsidP="00B0160E">
      <w:pPr>
        <w:ind w:left="349"/>
        <w:contextualSpacing/>
        <w:rPr>
          <w:color w:val="0070C0"/>
        </w:rPr>
      </w:pPr>
      <w:r>
        <w:rPr>
          <w:color w:val="0070C0"/>
        </w:rPr>
        <w:t>O autor percebendo o abandono deve promover a ação de despejo contra o locatário, para que ocorra a sua imissão na posse do imóvel.</w:t>
      </w:r>
    </w:p>
    <w:p w:rsidR="00CD0265" w:rsidRPr="00CD0265" w:rsidRDefault="00CD0265" w:rsidP="00B0160E">
      <w:pPr>
        <w:ind w:left="-360"/>
        <w:contextualSpacing/>
        <w:rPr>
          <w:color w:val="0070C0"/>
        </w:rPr>
      </w:pPr>
    </w:p>
    <w:p w:rsidR="00027C4A" w:rsidRDefault="00027C4A" w:rsidP="00B0160E">
      <w:pPr>
        <w:spacing w:line="360" w:lineRule="auto"/>
        <w:contextualSpacing/>
        <w:rPr>
          <w:rFonts w:asciiTheme="majorHAnsi" w:hAnsiTheme="majorHAnsi"/>
        </w:rPr>
      </w:pPr>
    </w:p>
    <w:p w:rsidR="00027C4A" w:rsidRPr="008145D0" w:rsidRDefault="008145D0" w:rsidP="001F4984">
      <w:pPr>
        <w:spacing w:line="360" w:lineRule="auto"/>
        <w:contextualSpacing/>
        <w:jc w:val="center"/>
        <w:rPr>
          <w:b/>
        </w:rPr>
      </w:pPr>
      <w:r w:rsidRPr="0062184D">
        <w:rPr>
          <w:b/>
          <w:highlight w:val="cyan"/>
        </w:rPr>
        <w:t xml:space="preserve">Aula </w:t>
      </w:r>
      <w:proofErr w:type="gramStart"/>
      <w:r w:rsidRPr="0062184D">
        <w:rPr>
          <w:b/>
          <w:highlight w:val="cyan"/>
        </w:rPr>
        <w:t>5</w:t>
      </w:r>
      <w:proofErr w:type="gramEnd"/>
      <w:r w:rsidRPr="0062184D">
        <w:rPr>
          <w:b/>
          <w:highlight w:val="cyan"/>
        </w:rPr>
        <w:t xml:space="preserve"> - </w:t>
      </w:r>
      <w:r w:rsidR="00027C4A" w:rsidRPr="0062184D">
        <w:rPr>
          <w:b/>
          <w:highlight w:val="cyan"/>
        </w:rPr>
        <w:t>25/05/13</w:t>
      </w:r>
      <w:r w:rsidRPr="0062184D">
        <w:rPr>
          <w:b/>
          <w:highlight w:val="cyan"/>
        </w:rPr>
        <w:t xml:space="preserve"> – Ação de despejo III</w:t>
      </w:r>
    </w:p>
    <w:p w:rsidR="00027C4A" w:rsidRPr="00027C4A" w:rsidRDefault="00027C4A" w:rsidP="00B0160E">
      <w:pPr>
        <w:spacing w:line="360" w:lineRule="auto"/>
        <w:contextualSpacing/>
      </w:pP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</w:rPr>
      </w:pPr>
      <w:r w:rsidRPr="00027C4A">
        <w:rPr>
          <w:rFonts w:cs="Lucida Grande"/>
          <w:color w:val="000000"/>
          <w:position w:val="-8"/>
        </w:rPr>
        <w:t xml:space="preserve">1- Está o locatário obrigado a comunicar o locador previamente da cessão da locação, o empréstimo do imóvel ou a sublocação </w:t>
      </w:r>
      <w:proofErr w:type="gramStart"/>
      <w:r w:rsidRPr="00027C4A">
        <w:rPr>
          <w:rFonts w:cs="Lucida Grande"/>
          <w:color w:val="000000"/>
          <w:position w:val="-8"/>
        </w:rPr>
        <w:t>a</w:t>
      </w:r>
      <w:proofErr w:type="gramEnd"/>
      <w:r w:rsidRPr="00027C4A">
        <w:rPr>
          <w:rFonts w:cs="Lucida Grande"/>
          <w:color w:val="000000"/>
          <w:position w:val="-8"/>
        </w:rPr>
        <w:t xml:space="preserve"> terceiro?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i/>
          <w:color w:val="FF0000"/>
          <w:position w:val="-8"/>
        </w:rPr>
      </w:pPr>
      <w:r w:rsidRPr="00027C4A">
        <w:rPr>
          <w:rFonts w:cs="Lucida Grande"/>
          <w:i/>
          <w:color w:val="FF0000"/>
          <w:position w:val="-8"/>
        </w:rPr>
        <w:t xml:space="preserve">Sim, para que o locador possa consentir ou </w:t>
      </w:r>
      <w:proofErr w:type="spellStart"/>
      <w:r w:rsidRPr="00027C4A">
        <w:rPr>
          <w:rFonts w:cs="Lucida Grande"/>
          <w:i/>
          <w:color w:val="FF0000"/>
          <w:position w:val="-8"/>
        </w:rPr>
        <w:t>assenter</w:t>
      </w:r>
      <w:proofErr w:type="spellEnd"/>
      <w:r w:rsidRPr="00027C4A">
        <w:rPr>
          <w:rFonts w:cs="Lucida Grande"/>
          <w:i/>
          <w:color w:val="FF0000"/>
          <w:position w:val="-8"/>
        </w:rPr>
        <w:t xml:space="preserve"> a cessão, empréstimo ou </w:t>
      </w:r>
      <w:proofErr w:type="spellStart"/>
      <w:r w:rsidRPr="00027C4A">
        <w:rPr>
          <w:rFonts w:cs="Lucida Grande"/>
          <w:i/>
          <w:color w:val="FF0000"/>
          <w:position w:val="-8"/>
        </w:rPr>
        <w:t>sublocaçao</w:t>
      </w:r>
      <w:proofErr w:type="spellEnd"/>
      <w:r w:rsidRPr="00027C4A">
        <w:rPr>
          <w:rFonts w:cs="Lucida Grande"/>
          <w:i/>
          <w:color w:val="FF0000"/>
          <w:position w:val="-8"/>
        </w:rPr>
        <w:t>.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  <w:highlight w:val="yellow"/>
        </w:rPr>
      </w:pP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</w:rPr>
      </w:pPr>
      <w:r w:rsidRPr="00027C4A">
        <w:rPr>
          <w:rFonts w:cs="Lucida Grande"/>
          <w:color w:val="000000"/>
          <w:position w:val="-8"/>
        </w:rPr>
        <w:t>2- Deverá o locador assentir ou consentir previamente, para viabilizar a aplicação de qualquer das situações estabelecidas na questão anterior?</w:t>
      </w:r>
    </w:p>
    <w:p w:rsidR="00027C4A" w:rsidRPr="00027C4A" w:rsidRDefault="00027C4A" w:rsidP="00B0160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contextualSpacing/>
        <w:jc w:val="both"/>
        <w:rPr>
          <w:rFonts w:asciiTheme="minorHAnsi" w:hAnsiTheme="minorHAnsi"/>
          <w:i/>
          <w:color w:val="FF0000"/>
          <w:szCs w:val="24"/>
        </w:rPr>
      </w:pPr>
      <w:r w:rsidRPr="00027C4A">
        <w:rPr>
          <w:rFonts w:asciiTheme="minorHAnsi" w:hAnsiTheme="minorHAnsi"/>
          <w:i/>
          <w:color w:val="FF0000"/>
          <w:szCs w:val="24"/>
        </w:rPr>
        <w:t>Na hipótese de cessão da locação o locatário deverá comunicar</w:t>
      </w:r>
      <w:proofErr w:type="gramStart"/>
      <w:r w:rsidRPr="00027C4A">
        <w:rPr>
          <w:rFonts w:asciiTheme="minorHAnsi" w:hAnsiTheme="minorHAnsi"/>
          <w:i/>
          <w:color w:val="FF0000"/>
          <w:szCs w:val="24"/>
        </w:rPr>
        <w:t xml:space="preserve">  </w:t>
      </w:r>
      <w:proofErr w:type="gramEnd"/>
      <w:r w:rsidRPr="00027C4A">
        <w:rPr>
          <w:rFonts w:asciiTheme="minorHAnsi" w:hAnsiTheme="minorHAnsi"/>
          <w:i/>
          <w:color w:val="FF0000"/>
          <w:szCs w:val="24"/>
        </w:rPr>
        <w:t>o locador para consentimento deste, visto que a parte será substituída no contrato.</w:t>
      </w:r>
    </w:p>
    <w:p w:rsidR="00027C4A" w:rsidRPr="00027C4A" w:rsidRDefault="00027C4A" w:rsidP="00B0160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contextualSpacing/>
        <w:jc w:val="both"/>
        <w:rPr>
          <w:rFonts w:asciiTheme="minorHAnsi" w:hAnsiTheme="minorHAnsi"/>
          <w:i/>
          <w:color w:val="FF0000"/>
          <w:szCs w:val="24"/>
        </w:rPr>
      </w:pPr>
      <w:r w:rsidRPr="00027C4A">
        <w:rPr>
          <w:rFonts w:asciiTheme="minorHAnsi" w:hAnsiTheme="minorHAnsi"/>
          <w:i/>
          <w:color w:val="FF0000"/>
          <w:szCs w:val="24"/>
        </w:rPr>
        <w:t xml:space="preserve">Nos casos de sublocação ou empréstimo, casos em que o locador não vê alterado o contrato de locação original, </w:t>
      </w:r>
      <w:proofErr w:type="gramStart"/>
      <w:r w:rsidRPr="00027C4A">
        <w:rPr>
          <w:rFonts w:asciiTheme="minorHAnsi" w:hAnsiTheme="minorHAnsi"/>
          <w:i/>
          <w:color w:val="FF0000"/>
          <w:szCs w:val="24"/>
        </w:rPr>
        <w:t>irá</w:t>
      </w:r>
      <w:proofErr w:type="gramEnd"/>
      <w:r w:rsidRPr="00027C4A">
        <w:rPr>
          <w:rFonts w:asciiTheme="minorHAnsi" w:hAnsiTheme="minorHAnsi"/>
          <w:i/>
          <w:color w:val="FF0000"/>
          <w:szCs w:val="24"/>
        </w:rPr>
        <w:t>, somente, assentir;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  <w:highlight w:val="yellow"/>
        </w:rPr>
      </w:pP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</w:rPr>
      </w:pPr>
      <w:r w:rsidRPr="00027C4A">
        <w:rPr>
          <w:rFonts w:cs="Lucida Grande"/>
          <w:color w:val="000000"/>
          <w:position w:val="-8"/>
        </w:rPr>
        <w:t>3- Em caso de transferência de quotas de sociedade ou de venda e compra de estabelecimento comercial, há cessão da locação há terceiro? Dependerá da manifestação do locador?</w:t>
      </w:r>
    </w:p>
    <w:p w:rsidR="00027C4A" w:rsidRPr="00027C4A" w:rsidRDefault="00027C4A" w:rsidP="00B0160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contextualSpacing/>
        <w:jc w:val="both"/>
        <w:rPr>
          <w:rFonts w:asciiTheme="minorHAnsi" w:hAnsiTheme="minorHAnsi"/>
          <w:i/>
          <w:color w:val="FF0000"/>
          <w:szCs w:val="24"/>
        </w:rPr>
      </w:pPr>
      <w:proofErr w:type="gramStart"/>
      <w:r w:rsidRPr="00027C4A">
        <w:rPr>
          <w:rFonts w:asciiTheme="minorHAnsi" w:hAnsiTheme="minorHAnsi"/>
          <w:i/>
          <w:color w:val="FF0000"/>
          <w:szCs w:val="24"/>
        </w:rPr>
        <w:lastRenderedPageBreak/>
        <w:t>Depende,</w:t>
      </w:r>
      <w:proofErr w:type="gramEnd"/>
      <w:r w:rsidRPr="00027C4A">
        <w:rPr>
          <w:rFonts w:asciiTheme="minorHAnsi" w:hAnsiTheme="minorHAnsi"/>
          <w:i/>
          <w:color w:val="FF0000"/>
          <w:szCs w:val="24"/>
        </w:rPr>
        <w:t xml:space="preserve"> se não houver alteração da pessoa jurídica como parte no contrato de locação não há que se falar em cessão e não dependerá de manifestação do locador, por outro lado, havendo cláusula contratual estabelecendo sua estipulação intuitu personae, a transferência das quotas sem anuência do locador implicará indevida cessão do contrato de locação.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</w:rPr>
      </w:pP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</w:rPr>
      </w:pPr>
      <w:r w:rsidRPr="00027C4A">
        <w:rPr>
          <w:rFonts w:cs="Lucida Grande"/>
          <w:color w:val="000000"/>
          <w:position w:val="-8"/>
        </w:rPr>
        <w:t xml:space="preserve">4- Qual será a melhor opção para o locador: mútuo acordo com prazo para trinta dias de desocupação do imóvel e imediata ação de despejo ou prazo de </w:t>
      </w:r>
      <w:proofErr w:type="gramStart"/>
      <w:r w:rsidRPr="00027C4A">
        <w:rPr>
          <w:rFonts w:cs="Lucida Grande"/>
          <w:color w:val="000000"/>
          <w:position w:val="-8"/>
        </w:rPr>
        <w:t>6</w:t>
      </w:r>
      <w:proofErr w:type="gramEnd"/>
      <w:r w:rsidRPr="00027C4A">
        <w:rPr>
          <w:rFonts w:cs="Lucida Grande"/>
          <w:color w:val="000000"/>
          <w:position w:val="-8"/>
        </w:rPr>
        <w:t xml:space="preserve"> meses para desocupação? Explique.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i/>
          <w:color w:val="FF0000"/>
          <w:position w:val="-8"/>
        </w:rPr>
      </w:pPr>
      <w:r w:rsidRPr="00027C4A">
        <w:rPr>
          <w:rFonts w:cs="Lucida Grande"/>
          <w:i/>
          <w:color w:val="FF0000"/>
          <w:position w:val="-8"/>
        </w:rPr>
        <w:t xml:space="preserve">Prazo de </w:t>
      </w:r>
      <w:proofErr w:type="gramStart"/>
      <w:r w:rsidRPr="00027C4A">
        <w:rPr>
          <w:rFonts w:cs="Lucida Grande"/>
          <w:i/>
          <w:color w:val="FF0000"/>
          <w:position w:val="-8"/>
        </w:rPr>
        <w:t>6</w:t>
      </w:r>
      <w:proofErr w:type="gramEnd"/>
      <w:r w:rsidRPr="00027C4A">
        <w:rPr>
          <w:rFonts w:cs="Lucida Grande"/>
          <w:i/>
          <w:color w:val="FF0000"/>
          <w:position w:val="-8"/>
        </w:rPr>
        <w:t xml:space="preserve"> meses para desocupação, que se não for atendida caberá pedido liminar na </w:t>
      </w:r>
      <w:proofErr w:type="spellStart"/>
      <w:r w:rsidRPr="00027C4A">
        <w:rPr>
          <w:rFonts w:cs="Lucida Grande"/>
          <w:i/>
          <w:color w:val="FF0000"/>
          <w:position w:val="-8"/>
        </w:rPr>
        <w:t>açao</w:t>
      </w:r>
      <w:proofErr w:type="spellEnd"/>
      <w:r w:rsidRPr="00027C4A">
        <w:rPr>
          <w:rFonts w:cs="Lucida Grande"/>
          <w:i/>
          <w:color w:val="FF0000"/>
          <w:position w:val="-8"/>
        </w:rPr>
        <w:t xml:space="preserve"> de despejo.</w:t>
      </w: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-8"/>
          <w:highlight w:val="yellow"/>
        </w:rPr>
      </w:pPr>
    </w:p>
    <w:p w:rsidR="00027C4A" w:rsidRPr="00027C4A" w:rsidRDefault="00027C4A" w:rsidP="00B0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cs="Lucida Grande"/>
          <w:color w:val="000000"/>
          <w:position w:val="12"/>
          <w:lang w:val="en-US"/>
        </w:rPr>
      </w:pPr>
      <w:r w:rsidRPr="00027C4A">
        <w:rPr>
          <w:rFonts w:cs="Lucida Grande"/>
          <w:color w:val="000000"/>
          <w:position w:val="-8"/>
          <w:highlight w:val="yellow"/>
        </w:rPr>
        <w:t xml:space="preserve">5- Qualquer infração legal justificará o despejo fundado na infração legal, conforme a Lei de Locações? </w:t>
      </w:r>
      <w:proofErr w:type="spellStart"/>
      <w:proofErr w:type="gramStart"/>
      <w:r w:rsidRPr="00027C4A">
        <w:rPr>
          <w:rFonts w:cs="Lucida Grande"/>
          <w:color w:val="000000"/>
          <w:position w:val="-8"/>
          <w:highlight w:val="yellow"/>
          <w:lang w:val="en-US"/>
        </w:rPr>
        <w:t>Explique</w:t>
      </w:r>
      <w:proofErr w:type="spellEnd"/>
      <w:r w:rsidRPr="00027C4A">
        <w:rPr>
          <w:rFonts w:cs="Lucida Grande"/>
          <w:color w:val="000000"/>
          <w:position w:val="-8"/>
          <w:highlight w:val="yellow"/>
          <w:lang w:val="en-US"/>
        </w:rPr>
        <w:t>.</w:t>
      </w:r>
      <w:proofErr w:type="gramEnd"/>
    </w:p>
    <w:p w:rsidR="00027C4A" w:rsidRPr="00027C4A" w:rsidRDefault="00027C4A" w:rsidP="00B0160E">
      <w:pPr>
        <w:spacing w:line="360" w:lineRule="auto"/>
        <w:contextualSpacing/>
        <w:rPr>
          <w:i/>
          <w:color w:val="FF0000"/>
        </w:rPr>
      </w:pPr>
    </w:p>
    <w:p w:rsidR="00027C4A" w:rsidRPr="00027C4A" w:rsidRDefault="00027C4A" w:rsidP="00B0160E">
      <w:pPr>
        <w:spacing w:line="360" w:lineRule="auto"/>
        <w:contextualSpacing/>
      </w:pPr>
    </w:p>
    <w:p w:rsidR="00027C4A" w:rsidRPr="00027C4A" w:rsidRDefault="00027C4A" w:rsidP="00B0160E">
      <w:pPr>
        <w:spacing w:line="360" w:lineRule="auto"/>
        <w:contextualSpacing/>
      </w:pPr>
    </w:p>
    <w:p w:rsidR="00027C4A" w:rsidRPr="008145D0" w:rsidRDefault="008145D0" w:rsidP="001F4984">
      <w:pPr>
        <w:spacing w:line="360" w:lineRule="auto"/>
        <w:contextualSpacing/>
        <w:jc w:val="center"/>
        <w:rPr>
          <w:b/>
        </w:rPr>
      </w:pPr>
      <w:r w:rsidRPr="0062184D">
        <w:rPr>
          <w:b/>
          <w:highlight w:val="cyan"/>
        </w:rPr>
        <w:t xml:space="preserve">Aula 6 – Ação </w:t>
      </w:r>
      <w:r w:rsidR="0062184D" w:rsidRPr="0062184D">
        <w:rPr>
          <w:b/>
          <w:highlight w:val="cyan"/>
        </w:rPr>
        <w:t>de despejo V - 08/06/13</w:t>
      </w:r>
    </w:p>
    <w:p w:rsidR="00027C4A" w:rsidRPr="00027C4A" w:rsidRDefault="00027C4A" w:rsidP="00B0160E">
      <w:pPr>
        <w:spacing w:line="360" w:lineRule="auto"/>
        <w:contextualSpacing/>
      </w:pPr>
    </w:p>
    <w:p w:rsidR="00027C4A" w:rsidRPr="00027C4A" w:rsidRDefault="00027C4A" w:rsidP="00B0160E">
      <w:pPr>
        <w:spacing w:line="360" w:lineRule="auto"/>
        <w:contextualSpacing/>
      </w:pPr>
      <w:r w:rsidRPr="00027C4A">
        <w:t>1- É possível, simultaneamente purgar a mora e contestar a ação de despejo por falta de pagamento?</w:t>
      </w:r>
    </w:p>
    <w:p w:rsidR="00027C4A" w:rsidRPr="003C77B7" w:rsidRDefault="00027C4A" w:rsidP="00B0160E">
      <w:pPr>
        <w:spacing w:line="360" w:lineRule="auto"/>
        <w:contextualSpacing/>
        <w:rPr>
          <w:color w:val="365F91" w:themeColor="accent1" w:themeShade="BF"/>
        </w:rPr>
      </w:pPr>
      <w:r w:rsidRPr="003C77B7">
        <w:rPr>
          <w:color w:val="365F91" w:themeColor="accent1" w:themeShade="BF"/>
        </w:rPr>
        <w:t>Não.</w:t>
      </w:r>
      <w:r w:rsidR="003C77B7" w:rsidRPr="003C77B7">
        <w:rPr>
          <w:color w:val="365F91" w:themeColor="accent1" w:themeShade="BF"/>
        </w:rPr>
        <w:t xml:space="preserve"> O prazo da purgação da mora (art. 62, II, LI) é o mesmo da contestação, ou seja, de 15 dias contados da citação</w:t>
      </w:r>
      <w:r w:rsidR="003C77B7">
        <w:rPr>
          <w:color w:val="365F91" w:themeColor="accent1" w:themeShade="BF"/>
        </w:rPr>
        <w:t>. O locatário purga a mora ou contesta a ação.</w:t>
      </w:r>
    </w:p>
    <w:p w:rsidR="00027C4A" w:rsidRPr="00027C4A" w:rsidRDefault="00027C4A" w:rsidP="00B0160E">
      <w:pPr>
        <w:spacing w:line="360" w:lineRule="auto"/>
        <w:contextualSpacing/>
        <w:rPr>
          <w:i/>
          <w:color w:val="FF0000"/>
          <w:highlight w:val="yellow"/>
        </w:rPr>
      </w:pPr>
    </w:p>
    <w:p w:rsidR="00027C4A" w:rsidRPr="00027C4A" w:rsidRDefault="00027C4A" w:rsidP="00B0160E">
      <w:pPr>
        <w:spacing w:line="360" w:lineRule="auto"/>
        <w:contextualSpacing/>
      </w:pPr>
      <w:r w:rsidRPr="00027C4A">
        <w:t>2- Indique os limites quantitativos da integralização da purga da mora pelo réu.</w:t>
      </w:r>
    </w:p>
    <w:p w:rsidR="00027C4A" w:rsidRPr="00C96E39" w:rsidRDefault="00C96E39" w:rsidP="003C77B7">
      <w:pPr>
        <w:spacing w:line="360" w:lineRule="auto"/>
        <w:contextualSpacing/>
        <w:rPr>
          <w:color w:val="365F91" w:themeColor="accent1" w:themeShade="BF"/>
        </w:rPr>
      </w:pPr>
      <w:r w:rsidRPr="00C96E39">
        <w:rPr>
          <w:color w:val="365F91" w:themeColor="accent1" w:themeShade="BF"/>
        </w:rPr>
        <w:t>Com a alteração trazida pela Lei 12.112/09, não pode purgar a mora o locatário que se valeu da medida nos 24 meses a</w:t>
      </w:r>
      <w:r>
        <w:rPr>
          <w:color w:val="365F91" w:themeColor="accent1" w:themeShade="BF"/>
        </w:rPr>
        <w:t xml:space="preserve">nteriores à propositura da ação, ou seja, no período de 24 meses é possível uma única purgação de mora, diferentemente do </w:t>
      </w:r>
      <w:r w:rsidR="00331525">
        <w:rPr>
          <w:color w:val="365F91" w:themeColor="accent1" w:themeShade="BF"/>
        </w:rPr>
        <w:t>disposto anterior à referida lei (</w:t>
      </w:r>
      <w:proofErr w:type="gramStart"/>
      <w:r w:rsidR="00331525">
        <w:rPr>
          <w:color w:val="365F91" w:themeColor="accent1" w:themeShade="BF"/>
        </w:rPr>
        <w:t>2</w:t>
      </w:r>
      <w:proofErr w:type="gramEnd"/>
      <w:r w:rsidR="00331525">
        <w:rPr>
          <w:color w:val="365F91" w:themeColor="accent1" w:themeShade="BF"/>
        </w:rPr>
        <w:t xml:space="preserve"> vezes nos 12 meses anteriores à propositura da ação).</w:t>
      </w:r>
    </w:p>
    <w:p w:rsidR="00C96E39" w:rsidRPr="00C96E39" w:rsidRDefault="00C96E39" w:rsidP="003C77B7">
      <w:pPr>
        <w:spacing w:line="360" w:lineRule="auto"/>
        <w:contextualSpacing/>
        <w:rPr>
          <w:color w:val="365F91" w:themeColor="accent1" w:themeShade="BF"/>
        </w:rPr>
      </w:pPr>
      <w:r w:rsidRPr="00C96E39">
        <w:rPr>
          <w:color w:val="365F91" w:themeColor="accent1" w:themeShade="BF"/>
        </w:rPr>
        <w:t xml:space="preserve">Não podendo o locatário purgar a mora, não podem, também, o fiador ou qualquer terceiro, </w:t>
      </w:r>
      <w:proofErr w:type="gramStart"/>
      <w:r w:rsidRPr="00C96E39">
        <w:rPr>
          <w:color w:val="365F91" w:themeColor="accent1" w:themeShade="BF"/>
        </w:rPr>
        <w:t>sob pena</w:t>
      </w:r>
      <w:proofErr w:type="gramEnd"/>
      <w:r w:rsidRPr="00C96E39">
        <w:rPr>
          <w:color w:val="365F91" w:themeColor="accent1" w:themeShade="BF"/>
        </w:rPr>
        <w:t xml:space="preserve"> de fraude à lei.</w:t>
      </w:r>
    </w:p>
    <w:p w:rsidR="00C96E39" w:rsidRDefault="00C96E39" w:rsidP="00B0160E">
      <w:pPr>
        <w:spacing w:line="360" w:lineRule="auto"/>
        <w:contextualSpacing/>
      </w:pPr>
    </w:p>
    <w:p w:rsidR="00027C4A" w:rsidRPr="00027C4A" w:rsidRDefault="00027C4A" w:rsidP="00B0160E">
      <w:pPr>
        <w:spacing w:line="360" w:lineRule="auto"/>
        <w:contextualSpacing/>
      </w:pPr>
      <w:r w:rsidRPr="00027C4A">
        <w:t>3- O depósito em conta do locador prejudica o interesse de agir para ação de despejo por falta de pagamento?</w:t>
      </w:r>
    </w:p>
    <w:p w:rsidR="004B13DE" w:rsidRDefault="004B13DE" w:rsidP="004B13DE">
      <w:pPr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Segundo </w:t>
      </w:r>
      <w:proofErr w:type="spellStart"/>
      <w:r>
        <w:rPr>
          <w:color w:val="365F91" w:themeColor="accent1" w:themeShade="BF"/>
        </w:rPr>
        <w:t>Scavone</w:t>
      </w:r>
      <w:proofErr w:type="spellEnd"/>
      <w:r>
        <w:rPr>
          <w:color w:val="365F91" w:themeColor="accent1" w:themeShade="BF"/>
        </w:rPr>
        <w:t xml:space="preserve"> (p. 1097), o</w:t>
      </w:r>
      <w:r w:rsidR="003C77B7">
        <w:rPr>
          <w:color w:val="365F91" w:themeColor="accent1" w:themeShade="BF"/>
        </w:rPr>
        <w:t xml:space="preserve"> depósito em conta do locador libera o locat</w:t>
      </w:r>
      <w:r>
        <w:rPr>
          <w:color w:val="365F91" w:themeColor="accent1" w:themeShade="BF"/>
        </w:rPr>
        <w:t xml:space="preserve">ário se: </w:t>
      </w:r>
    </w:p>
    <w:p w:rsidR="004B13DE" w:rsidRDefault="004B13DE" w:rsidP="004B13DE">
      <w:pPr>
        <w:pStyle w:val="PargrafodaLista"/>
        <w:numPr>
          <w:ilvl w:val="0"/>
          <w:numId w:val="13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 w:rsidRPr="004B13DE">
        <w:rPr>
          <w:rFonts w:asciiTheme="minorHAnsi" w:hAnsiTheme="minorHAnsi"/>
          <w:color w:val="365F91" w:themeColor="accent1" w:themeShade="BF"/>
          <w:sz w:val="22"/>
          <w:szCs w:val="22"/>
        </w:rPr>
        <w:t>previsto</w:t>
      </w:r>
      <w:proofErr w:type="gramEnd"/>
      <w:r w:rsidRPr="004B13DE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em contrato;</w:t>
      </w:r>
    </w:p>
    <w:p w:rsidR="004B13DE" w:rsidRDefault="004B13DE" w:rsidP="004B13DE">
      <w:pPr>
        <w:pStyle w:val="PargrafodaLista"/>
        <w:numPr>
          <w:ilvl w:val="0"/>
          <w:numId w:val="13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>
        <w:rPr>
          <w:rFonts w:asciiTheme="minorHAnsi" w:hAnsiTheme="minorHAnsi"/>
          <w:color w:val="365F91" w:themeColor="accent1" w:themeShade="BF"/>
          <w:sz w:val="22"/>
          <w:szCs w:val="22"/>
        </w:rPr>
        <w:t>autorizado</w:t>
      </w:r>
      <w:proofErr w:type="gramEnd"/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pelo locador;</w:t>
      </w:r>
    </w:p>
    <w:p w:rsidR="004B13DE" w:rsidRDefault="004B13DE" w:rsidP="004B13DE">
      <w:pPr>
        <w:pStyle w:val="PargrafodaLista"/>
        <w:numPr>
          <w:ilvl w:val="0"/>
          <w:numId w:val="13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proofErr w:type="gramStart"/>
      <w:r>
        <w:rPr>
          <w:rFonts w:asciiTheme="minorHAnsi" w:hAnsiTheme="minorHAnsi"/>
          <w:color w:val="365F91" w:themeColor="accent1" w:themeShade="BF"/>
          <w:sz w:val="22"/>
          <w:szCs w:val="22"/>
        </w:rPr>
        <w:t>não</w:t>
      </w:r>
      <w:proofErr w:type="gramEnd"/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ocorrer manifestação do locador que, tomando ciência, levanta o valor depositado.</w:t>
      </w:r>
    </w:p>
    <w:p w:rsidR="00027C4A" w:rsidRPr="004B13DE" w:rsidRDefault="004B13DE" w:rsidP="004B13DE">
      <w:pPr>
        <w:contextualSpacing/>
        <w:rPr>
          <w:color w:val="365F91" w:themeColor="accent1" w:themeShade="BF"/>
        </w:rPr>
      </w:pPr>
      <w:r w:rsidRPr="004B13DE">
        <w:rPr>
          <w:color w:val="365F91" w:themeColor="accent1" w:themeShade="BF"/>
        </w:rPr>
        <w:t>Portanto, se o pagamento não foi realizado da forma como foi acordado não será prejudicado o interesse de agir</w:t>
      </w:r>
      <w:proofErr w:type="gramStart"/>
      <w:r w:rsidRPr="004B13DE">
        <w:rPr>
          <w:color w:val="365F91" w:themeColor="accent1" w:themeShade="BF"/>
        </w:rPr>
        <w:t xml:space="preserve">  </w:t>
      </w:r>
      <w:proofErr w:type="gramEnd"/>
      <w:r w:rsidRPr="004B13DE">
        <w:rPr>
          <w:color w:val="365F91" w:themeColor="accent1" w:themeShade="BF"/>
        </w:rPr>
        <w:t>para a propositura d</w:t>
      </w:r>
      <w:r w:rsidR="00027C4A" w:rsidRPr="004B13DE">
        <w:rPr>
          <w:color w:val="365F91" w:themeColor="accent1" w:themeShade="BF"/>
        </w:rPr>
        <w:t>a ação de despejo.</w:t>
      </w:r>
      <w:r w:rsidRPr="004B13DE">
        <w:rPr>
          <w:color w:val="365F91" w:themeColor="accent1" w:themeShade="BF"/>
        </w:rPr>
        <w:t xml:space="preserve"> </w:t>
      </w:r>
    </w:p>
    <w:p w:rsidR="004B13DE" w:rsidRPr="004B13DE" w:rsidRDefault="004B13DE" w:rsidP="004B13DE">
      <w:pPr>
        <w:contextualSpacing/>
        <w:rPr>
          <w:color w:val="365F91" w:themeColor="accent1" w:themeShade="BF"/>
        </w:rPr>
      </w:pPr>
      <w:r w:rsidRPr="004B13DE">
        <w:rPr>
          <w:color w:val="365F91" w:themeColor="accent1" w:themeShade="BF"/>
        </w:rPr>
        <w:t>Cabe enfatizar que a mora se caracteriza não só pela ausência de pagamento, mas pelo pagamento em outro lugar ou forma, que não os convencionados (art. 394, CC</w:t>
      </w:r>
      <w:proofErr w:type="gramStart"/>
      <w:r w:rsidRPr="004B13DE">
        <w:rPr>
          <w:color w:val="365F91" w:themeColor="accent1" w:themeShade="BF"/>
        </w:rPr>
        <w:t>)</w:t>
      </w:r>
      <w:proofErr w:type="gramEnd"/>
    </w:p>
    <w:p w:rsidR="00027C4A" w:rsidRPr="004B13DE" w:rsidRDefault="00027C4A" w:rsidP="00B0160E">
      <w:pPr>
        <w:spacing w:line="360" w:lineRule="auto"/>
        <w:contextualSpacing/>
        <w:rPr>
          <w:color w:val="365F91" w:themeColor="accent1" w:themeShade="BF"/>
        </w:rPr>
      </w:pPr>
    </w:p>
    <w:p w:rsidR="00027C4A" w:rsidRPr="00027C4A" w:rsidRDefault="00027C4A" w:rsidP="00B0160E">
      <w:pPr>
        <w:spacing w:line="360" w:lineRule="auto"/>
        <w:contextualSpacing/>
      </w:pPr>
      <w:r w:rsidRPr="00027C4A">
        <w:t>4- É possível cumular multa moratória com multa compensatória em ação de despejo por falta de pagamento?</w:t>
      </w:r>
    </w:p>
    <w:p w:rsidR="00D121D6" w:rsidRDefault="00D121D6" w:rsidP="00B0160E">
      <w:pPr>
        <w:spacing w:line="360" w:lineRule="auto"/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Como há a incidência do princípio </w:t>
      </w:r>
      <w:r w:rsidRPr="00535A23">
        <w:rPr>
          <w:i/>
          <w:color w:val="365F91" w:themeColor="accent1" w:themeShade="BF"/>
        </w:rPr>
        <w:t>non bis in idem</w:t>
      </w:r>
      <w:r>
        <w:rPr>
          <w:i/>
          <w:color w:val="365F91" w:themeColor="accent1" w:themeShade="BF"/>
        </w:rPr>
        <w:t>,</w:t>
      </w:r>
      <w:r w:rsidRPr="00535A23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s</w:t>
      </w:r>
      <w:r w:rsidR="00535A23" w:rsidRPr="00535A23">
        <w:rPr>
          <w:color w:val="365F91" w:themeColor="accent1" w:themeShade="BF"/>
        </w:rPr>
        <w:t xml:space="preserve">omente </w:t>
      </w:r>
      <w:r>
        <w:rPr>
          <w:color w:val="365F91" w:themeColor="accent1" w:themeShade="BF"/>
        </w:rPr>
        <w:t xml:space="preserve">é possível a cumulação dessas duas espécies de multas </w:t>
      </w:r>
      <w:r w:rsidR="00535A23" w:rsidRPr="00535A23">
        <w:rPr>
          <w:color w:val="365F91" w:themeColor="accent1" w:themeShade="BF"/>
        </w:rPr>
        <w:t>se forem</w:t>
      </w:r>
      <w:r w:rsidR="00535A23">
        <w:rPr>
          <w:color w:val="365F91" w:themeColor="accent1" w:themeShade="BF"/>
        </w:rPr>
        <w:t xml:space="preserve"> fundadas em fatos distintos</w:t>
      </w:r>
      <w:r>
        <w:rPr>
          <w:color w:val="365F91" w:themeColor="accent1" w:themeShade="BF"/>
        </w:rPr>
        <w:t>.</w:t>
      </w:r>
    </w:p>
    <w:p w:rsidR="00636E7D" w:rsidRDefault="00636E7D" w:rsidP="00B0160E">
      <w:pPr>
        <w:spacing w:line="360" w:lineRule="auto"/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 xml:space="preserve">Segundo </w:t>
      </w:r>
      <w:proofErr w:type="spellStart"/>
      <w:r>
        <w:rPr>
          <w:color w:val="365F91" w:themeColor="accent1" w:themeShade="BF"/>
        </w:rPr>
        <w:t>Scavone</w:t>
      </w:r>
      <w:proofErr w:type="spellEnd"/>
      <w:r>
        <w:rPr>
          <w:color w:val="365F91" w:themeColor="accent1" w:themeShade="BF"/>
        </w:rPr>
        <w:t xml:space="preserve"> (p. 1108), “o credor </w:t>
      </w:r>
      <w:r w:rsidRPr="00535A23">
        <w:rPr>
          <w:color w:val="365F91" w:themeColor="accent1" w:themeShade="BF"/>
          <w:u w:val="single"/>
        </w:rPr>
        <w:t>não</w:t>
      </w:r>
      <w:r>
        <w:rPr>
          <w:color w:val="365F91" w:themeColor="accent1" w:themeShade="BF"/>
        </w:rPr>
        <w:t xml:space="preserve"> pode cumular a multa (cláusula penal) moratória, que se aplica ao atraso no pagamento do aluguel, com a multa (cláusula penal) compensatória, prevista para o descumprimento dos deveres laterais do contrato, como, por exemplo, de conservação, de não sublocar etc.</w:t>
      </w:r>
      <w:proofErr w:type="gramStart"/>
      <w:r>
        <w:rPr>
          <w:color w:val="365F91" w:themeColor="accent1" w:themeShade="BF"/>
        </w:rPr>
        <w:t>”</w:t>
      </w:r>
      <w:proofErr w:type="gramEnd"/>
    </w:p>
    <w:p w:rsidR="00535A23" w:rsidRDefault="009F613C" w:rsidP="00B0160E">
      <w:pPr>
        <w:spacing w:line="360" w:lineRule="auto"/>
        <w:contextualSpacing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t>Segundo Venosa, p. 452)</w:t>
      </w:r>
      <w:proofErr w:type="gramEnd"/>
      <w:r>
        <w:rPr>
          <w:color w:val="365F91" w:themeColor="accent1" w:themeShade="BF"/>
        </w:rPr>
        <w:t xml:space="preserve">, “a exigibilidade das multas ou penalidades, na purga da mora em despejo por impontualidade, ‘abrange toda pena moratória , excluindo-se as de natureza compensatória’ (Rel. Cézar </w:t>
      </w:r>
      <w:proofErr w:type="spellStart"/>
      <w:r>
        <w:rPr>
          <w:color w:val="365F91" w:themeColor="accent1" w:themeShade="BF"/>
        </w:rPr>
        <w:t>Peluso</w:t>
      </w:r>
      <w:proofErr w:type="spellEnd"/>
      <w:r>
        <w:rPr>
          <w:color w:val="365F91" w:themeColor="accent1" w:themeShade="BF"/>
        </w:rPr>
        <w:t xml:space="preserve"> – RT 605/137). </w:t>
      </w:r>
    </w:p>
    <w:p w:rsidR="006F4140" w:rsidRPr="00027C4A" w:rsidRDefault="006F4140" w:rsidP="00B0160E">
      <w:pPr>
        <w:pStyle w:val="Default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27C4A" w:rsidRPr="0062184D" w:rsidRDefault="0062184D" w:rsidP="001F4984">
      <w:pPr>
        <w:spacing w:line="360" w:lineRule="auto"/>
        <w:contextualSpacing/>
        <w:jc w:val="center"/>
        <w:rPr>
          <w:b/>
        </w:rPr>
      </w:pPr>
      <w:r w:rsidRPr="0062184D">
        <w:rPr>
          <w:b/>
          <w:highlight w:val="cyan"/>
        </w:rPr>
        <w:t>Aula 7 – Consignação em pagamento de aluguéis e encargos – 22/06/13</w:t>
      </w:r>
    </w:p>
    <w:p w:rsidR="00027C4A" w:rsidRPr="00027C4A" w:rsidRDefault="00027C4A" w:rsidP="00B0160E">
      <w:pPr>
        <w:spacing w:line="360" w:lineRule="auto"/>
        <w:contextualSpacing/>
      </w:pPr>
    </w:p>
    <w:p w:rsidR="00027C4A" w:rsidRPr="0062184D" w:rsidRDefault="00027C4A" w:rsidP="00167185">
      <w:pPr>
        <w:pStyle w:val="imported-Normal"/>
      </w:pPr>
      <w:proofErr w:type="gramStart"/>
      <w:r w:rsidRPr="0062184D">
        <w:t>1</w:t>
      </w:r>
      <w:proofErr w:type="gramEnd"/>
      <w:r w:rsidRPr="0062184D">
        <w:t>) Comente o requisito novo criado pelo art. 285-B do Código de Processo civil e o eventual óbice que ele pode gerar nas ações de consignação em pagamento.</w:t>
      </w:r>
    </w:p>
    <w:p w:rsidR="00167185" w:rsidRDefault="00167185" w:rsidP="00167185">
      <w:pPr>
        <w:pStyle w:val="imported-Normal"/>
        <w:rPr>
          <w:color w:val="365F91" w:themeColor="accent1" w:themeShade="BF"/>
        </w:rPr>
      </w:pPr>
      <w:r w:rsidRPr="00167185">
        <w:rPr>
          <w:color w:val="365F91" w:themeColor="accent1" w:themeShade="BF"/>
        </w:rPr>
        <w:t>“</w:t>
      </w:r>
      <w:r w:rsidRPr="00167185">
        <w:rPr>
          <w:color w:val="365F91" w:themeColor="accent1" w:themeShade="BF"/>
        </w:rPr>
        <w:t>O art. 21 da Lei n. 12.810/2013 acrescentou um artigo ao CPC. Trata-se do art. 285-B, com o seguinte conteúdo:</w:t>
      </w:r>
      <w:r w:rsidRPr="00167185">
        <w:rPr>
          <w:color w:val="365F91" w:themeColor="accent1" w:themeShade="BF"/>
        </w:rPr>
        <w:br/>
      </w:r>
      <w:r w:rsidRPr="00735B32">
        <w:rPr>
          <w:rStyle w:val="nfase"/>
          <w:color w:val="244061" w:themeColor="accent1" w:themeShade="80"/>
          <w:sz w:val="18"/>
          <w:szCs w:val="18"/>
        </w:rPr>
        <w:t>Art. 285-B. Nos litígios que tenham por objeto obrigações decorrentes de empréstimo, financiamento ou arrendamento mercantil, o autor deverá discriminar na petição inicial, dentre as obrigações contratuais, aquelas que pretende controverter, quantificando o valor incontroverso.</w:t>
      </w:r>
      <w:r w:rsidRPr="00735B32">
        <w:rPr>
          <w:color w:val="244061" w:themeColor="accent1" w:themeShade="80"/>
          <w:sz w:val="18"/>
          <w:szCs w:val="18"/>
        </w:rPr>
        <w:br/>
      </w:r>
      <w:r w:rsidRPr="00735B32">
        <w:rPr>
          <w:rStyle w:val="nfase"/>
          <w:color w:val="244061" w:themeColor="accent1" w:themeShade="80"/>
          <w:sz w:val="18"/>
          <w:szCs w:val="18"/>
        </w:rPr>
        <w:t>Parágrafo único. O valor incontroverso deverá continuar sendo pago no tempo e modo contratados.</w:t>
      </w:r>
      <w:r w:rsidRPr="00735B32">
        <w:rPr>
          <w:color w:val="244061" w:themeColor="accent1" w:themeShade="80"/>
          <w:sz w:val="18"/>
          <w:szCs w:val="18"/>
        </w:rPr>
        <w:br/>
      </w:r>
      <w:r w:rsidRPr="00167185">
        <w:rPr>
          <w:color w:val="365F91" w:themeColor="accent1" w:themeShade="BF"/>
          <w:u w:val="single"/>
        </w:rPr>
        <w:t>O dispositivo cria um novo caso de inépcia</w:t>
      </w:r>
      <w:r w:rsidRPr="00167185">
        <w:rPr>
          <w:color w:val="365F91" w:themeColor="accent1" w:themeShade="BF"/>
        </w:rPr>
        <w:t>, que acresce o rol do parágrafo único do art. 295 do CPC, embora isso não tenha ficado claro – o texto menciona o que o autor tem de fazer, mas não disse o que acontece se ele não cumprir este ônus.</w:t>
      </w:r>
      <w:r w:rsidRPr="00167185">
        <w:rPr>
          <w:color w:val="365F91" w:themeColor="accent1" w:themeShade="BF"/>
        </w:rPr>
        <w:br/>
        <w:t>Proposta demanda que tenha por objeto a discussão de dívida oriunda de empréstimo, financiamento ou arrendamento mercantil, cabe ao autor identificar, precisamente, qual o valor que pretende controverter e qual é a parcela incontroversa. Ou seja: não basta o pedido de revisão de dívida, é preciso especificar o que se discute.</w:t>
      </w:r>
      <w:r w:rsidRPr="00167185">
        <w:rPr>
          <w:color w:val="365F91" w:themeColor="accent1" w:themeShade="BF"/>
        </w:rPr>
        <w:br/>
        <w:t>Não discriminado este valor, cabe ao juiz determinar a intimação do autor para que emende a petição inicial; não retificado o defeito, a petição há de ser indeferida, por inépcia.</w:t>
      </w:r>
      <w:r>
        <w:rPr>
          <w:color w:val="365F91" w:themeColor="accent1" w:themeShade="BF"/>
        </w:rPr>
        <w:t>”</w:t>
      </w:r>
    </w:p>
    <w:p w:rsidR="00167185" w:rsidRDefault="00167185" w:rsidP="00167185">
      <w:pPr>
        <w:pStyle w:val="imported-Normal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Fonte: </w:t>
      </w:r>
      <w:hyperlink r:id="rId8" w:history="1">
        <w:r w:rsidRPr="00702978">
          <w:rPr>
            <w:rStyle w:val="Hyperlink"/>
            <w:color w:val="0000BF" w:themeColor="hyperlink" w:themeShade="BF"/>
          </w:rPr>
          <w:t>http://www.jurisciencia.com/artigos/nova-hipotese-de-inepcia-da-peticao-inicial-art-285-b-do-cpc-fredie-didier/1892/</w:t>
        </w:r>
      </w:hyperlink>
      <w:r>
        <w:rPr>
          <w:color w:val="365F91" w:themeColor="accent1" w:themeShade="BF"/>
        </w:rPr>
        <w:t xml:space="preserve"> - 04/07/13</w:t>
      </w:r>
    </w:p>
    <w:p w:rsidR="00167185" w:rsidRPr="00167185" w:rsidRDefault="00167185" w:rsidP="00167185">
      <w:pPr>
        <w:pStyle w:val="imported-Normal"/>
        <w:rPr>
          <w:color w:val="365F91" w:themeColor="accent1" w:themeShade="BF"/>
          <w:szCs w:val="22"/>
        </w:rPr>
      </w:pPr>
    </w:p>
    <w:p w:rsidR="00027C4A" w:rsidRPr="00167185" w:rsidRDefault="00027C4A" w:rsidP="00167185">
      <w:pPr>
        <w:pStyle w:val="imported-Normal"/>
        <w:rPr>
          <w:color w:val="365F91" w:themeColor="accent1" w:themeShade="BF"/>
        </w:rPr>
      </w:pPr>
      <w:r w:rsidRPr="00167185">
        <w:rPr>
          <w:color w:val="365F91" w:themeColor="accent1" w:themeShade="BF"/>
        </w:rPr>
        <w:t>Criou-se um requisito adicional para peticão inicial, que prevê a necessidade de delimitação da matéria controvertida; pagamento do valor incontroverso (não especificand</w:t>
      </w:r>
      <w:r w:rsidR="00167185">
        <w:rPr>
          <w:color w:val="365F91" w:themeColor="accent1" w:themeShade="BF"/>
        </w:rPr>
        <w:t>o a forma como seria feito), ve</w:t>
      </w:r>
      <w:r w:rsidRPr="00167185">
        <w:rPr>
          <w:color w:val="365F91" w:themeColor="accent1" w:themeShade="BF"/>
        </w:rPr>
        <w:t xml:space="preserve">dando a consignação em pagamento. </w:t>
      </w:r>
    </w:p>
    <w:p w:rsidR="00027C4A" w:rsidRPr="00167185" w:rsidRDefault="00027C4A" w:rsidP="00167185">
      <w:pPr>
        <w:pStyle w:val="imported-Normal"/>
        <w:rPr>
          <w:color w:val="365F91" w:themeColor="accent1" w:themeShade="BF"/>
        </w:rPr>
      </w:pPr>
    </w:p>
    <w:p w:rsidR="00027C4A" w:rsidRPr="0062184D" w:rsidRDefault="00027C4A" w:rsidP="00167185">
      <w:pPr>
        <w:pStyle w:val="imported-Normal"/>
      </w:pPr>
      <w:proofErr w:type="gramStart"/>
      <w:r w:rsidRPr="0062184D">
        <w:t>2</w:t>
      </w:r>
      <w:proofErr w:type="gramEnd"/>
      <w:r w:rsidRPr="0062184D">
        <w:t>) É correto o autor depositar o valor total em debate com o réu para que a consignação evite a possibilidade de incidência de juros e multa moratória? Explique.</w:t>
      </w:r>
    </w:p>
    <w:p w:rsidR="00027C4A" w:rsidRPr="00D86F9E" w:rsidRDefault="00027C4A" w:rsidP="00167185">
      <w:pPr>
        <w:pStyle w:val="imported-Normal"/>
        <w:rPr>
          <w:color w:val="365F91" w:themeColor="accent1" w:themeShade="BF"/>
        </w:rPr>
      </w:pPr>
      <w:r w:rsidRPr="00D86F9E">
        <w:rPr>
          <w:color w:val="365F91" w:themeColor="accent1" w:themeShade="BF"/>
        </w:rPr>
        <w:t xml:space="preserve">Sim, recomendável para que o autor não fique a mercê do andamento do processo, sendo que a incidência da mora ficará </w:t>
      </w:r>
      <w:proofErr w:type="gramStart"/>
      <w:r w:rsidRPr="00D86F9E">
        <w:rPr>
          <w:color w:val="365F91" w:themeColor="accent1" w:themeShade="BF"/>
        </w:rPr>
        <w:t>à</w:t>
      </w:r>
      <w:proofErr w:type="gramEnd"/>
      <w:r w:rsidRPr="00D86F9E">
        <w:rPr>
          <w:color w:val="365F91" w:themeColor="accent1" w:themeShade="BF"/>
        </w:rPr>
        <w:t xml:space="preserve"> cargo do banco.</w:t>
      </w:r>
    </w:p>
    <w:p w:rsidR="00027C4A" w:rsidRPr="00D86F9E" w:rsidRDefault="00027C4A" w:rsidP="00167185">
      <w:pPr>
        <w:pStyle w:val="imported-Normal"/>
        <w:rPr>
          <w:color w:val="365F91" w:themeColor="accent1" w:themeShade="BF"/>
        </w:rPr>
      </w:pPr>
      <w:r w:rsidRPr="00D86F9E">
        <w:rPr>
          <w:color w:val="365F91" w:themeColor="accent1" w:themeShade="BF"/>
        </w:rPr>
        <w:t xml:space="preserve"> </w:t>
      </w:r>
    </w:p>
    <w:p w:rsidR="00027C4A" w:rsidRDefault="00027C4A" w:rsidP="00167185">
      <w:pPr>
        <w:pStyle w:val="imported-Normal"/>
      </w:pPr>
      <w:proofErr w:type="gramStart"/>
      <w:r w:rsidRPr="0062184D">
        <w:rPr>
          <w:highlight w:val="yellow"/>
        </w:rPr>
        <w:t>3</w:t>
      </w:r>
      <w:proofErr w:type="gramEnd"/>
      <w:r w:rsidRPr="0062184D">
        <w:rPr>
          <w:highlight w:val="yellow"/>
        </w:rPr>
        <w:t>) Faça uma análise comparativa entre o procedimento da consignação comum e a consignação de aluguéis.</w:t>
      </w:r>
    </w:p>
    <w:p w:rsidR="0007237E" w:rsidRDefault="00207B05" w:rsidP="00167185">
      <w:pPr>
        <w:pStyle w:val="imported-Normal"/>
      </w:pPr>
      <w:r>
        <w:lastRenderedPageBreak/>
        <w:t>Características gerais da consignação de aluguéis:</w:t>
      </w:r>
    </w:p>
    <w:p w:rsidR="00207B05" w:rsidRDefault="00207B05" w:rsidP="00207B05">
      <w:pPr>
        <w:pStyle w:val="imported-Normal"/>
        <w:numPr>
          <w:ilvl w:val="0"/>
          <w:numId w:val="10"/>
        </w:numPr>
      </w:pPr>
      <w:r>
        <w:t>Artigo 67 da LI;</w:t>
      </w:r>
    </w:p>
    <w:p w:rsidR="00207B05" w:rsidRDefault="00207B05" w:rsidP="00207B05">
      <w:pPr>
        <w:pStyle w:val="imported-Normal"/>
        <w:numPr>
          <w:ilvl w:val="0"/>
          <w:numId w:val="10"/>
        </w:numPr>
      </w:pPr>
      <w:r>
        <w:t>Consignação de aluguel e encargos;</w:t>
      </w:r>
    </w:p>
    <w:p w:rsidR="00207B05" w:rsidRDefault="00207B05" w:rsidP="00207B05">
      <w:pPr>
        <w:pStyle w:val="imported-Normal"/>
        <w:numPr>
          <w:ilvl w:val="0"/>
          <w:numId w:val="10"/>
        </w:numPr>
      </w:pPr>
      <w:r>
        <w:t>Foro competente: local do imóvel</w:t>
      </w:r>
      <w:proofErr w:type="gramStart"/>
      <w:r>
        <w:t xml:space="preserve">  </w:t>
      </w:r>
      <w:proofErr w:type="gramEnd"/>
      <w:r>
        <w:t>ou, se houver, foro de eleição;</w:t>
      </w:r>
    </w:p>
    <w:p w:rsidR="00207B05" w:rsidRPr="0062184D" w:rsidRDefault="00207B05" w:rsidP="00207B05">
      <w:pPr>
        <w:pStyle w:val="imported-Normal"/>
        <w:numPr>
          <w:ilvl w:val="0"/>
          <w:numId w:val="10"/>
        </w:numPr>
      </w:pPr>
      <w:r>
        <w:t>Legitimidade ativa: locatário (ou sublocador) ou sublocatário.</w:t>
      </w:r>
    </w:p>
    <w:p w:rsidR="00027C4A" w:rsidRPr="0062184D" w:rsidRDefault="00027C4A" w:rsidP="00167185">
      <w:pPr>
        <w:pStyle w:val="imported-Normal"/>
      </w:pPr>
    </w:p>
    <w:p w:rsidR="00027C4A" w:rsidRPr="0062184D" w:rsidRDefault="00027C4A" w:rsidP="00167185">
      <w:pPr>
        <w:pStyle w:val="imported-Normal"/>
      </w:pPr>
      <w:proofErr w:type="gramStart"/>
      <w:r w:rsidRPr="0062184D">
        <w:t>4</w:t>
      </w:r>
      <w:proofErr w:type="gramEnd"/>
      <w:r w:rsidRPr="0062184D">
        <w:t>) É possível aplicar o prazo de 5 dias após o vencimento para o depósito das prestações periódicas do art. 892 do CPC nas consignações de aluguéis? Explique.</w:t>
      </w:r>
      <w:bookmarkStart w:id="0" w:name="_GoBack"/>
      <w:bookmarkEnd w:id="0"/>
    </w:p>
    <w:p w:rsidR="00027C4A" w:rsidRPr="0062184D" w:rsidRDefault="00027C4A" w:rsidP="00167185">
      <w:pPr>
        <w:pStyle w:val="imported-Normal"/>
      </w:pPr>
      <w:r w:rsidRPr="0062184D">
        <w:t>Não, o depósito deverá ser feito no dia do vencimento.</w:t>
      </w:r>
    </w:p>
    <w:p w:rsidR="00027C4A" w:rsidRPr="0062184D" w:rsidRDefault="00027C4A" w:rsidP="00167185">
      <w:pPr>
        <w:pStyle w:val="imported-Normal"/>
      </w:pPr>
      <w:r w:rsidRPr="0062184D">
        <w:t xml:space="preserve"> </w:t>
      </w:r>
    </w:p>
    <w:p w:rsidR="00027C4A" w:rsidRPr="0062184D" w:rsidRDefault="00027C4A" w:rsidP="00167185">
      <w:pPr>
        <w:pStyle w:val="imported-Normal"/>
      </w:pPr>
      <w:proofErr w:type="gramStart"/>
      <w:r w:rsidRPr="0062184D">
        <w:t>5</w:t>
      </w:r>
      <w:proofErr w:type="gramEnd"/>
      <w:r w:rsidRPr="0062184D">
        <w:t>) O que significa dizer que as ações de consignação tem natureza dúplice, embora admitam reconvenção? Explique.</w:t>
      </w:r>
    </w:p>
    <w:sectPr w:rsidR="00027C4A" w:rsidRPr="0062184D" w:rsidSect="00B0160E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2C" w:rsidRDefault="00D8302C" w:rsidP="00B0160E">
      <w:pPr>
        <w:spacing w:before="0" w:after="0"/>
      </w:pPr>
      <w:r>
        <w:separator/>
      </w:r>
    </w:p>
  </w:endnote>
  <w:endnote w:type="continuationSeparator" w:id="0">
    <w:p w:rsidR="00D8302C" w:rsidRDefault="00D8302C" w:rsidP="00B01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2C" w:rsidRDefault="00D8302C" w:rsidP="00B0160E">
      <w:pPr>
        <w:spacing w:before="0" w:after="0"/>
      </w:pPr>
      <w:r>
        <w:separator/>
      </w:r>
    </w:p>
  </w:footnote>
  <w:footnote w:type="continuationSeparator" w:id="0">
    <w:p w:rsidR="00D8302C" w:rsidRDefault="00D8302C" w:rsidP="00B016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FA5"/>
    <w:multiLevelType w:val="hybridMultilevel"/>
    <w:tmpl w:val="A0044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9D2"/>
    <w:multiLevelType w:val="multilevel"/>
    <w:tmpl w:val="DCA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94750"/>
    <w:multiLevelType w:val="hybridMultilevel"/>
    <w:tmpl w:val="34FC1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6646"/>
    <w:multiLevelType w:val="hybridMultilevel"/>
    <w:tmpl w:val="3648E4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5967"/>
    <w:multiLevelType w:val="hybridMultilevel"/>
    <w:tmpl w:val="FF5E7A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4CA5"/>
    <w:multiLevelType w:val="hybridMultilevel"/>
    <w:tmpl w:val="912A6B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D26"/>
    <w:multiLevelType w:val="hybridMultilevel"/>
    <w:tmpl w:val="6FB26A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B311A"/>
    <w:multiLevelType w:val="hybridMultilevel"/>
    <w:tmpl w:val="4EF0C7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31EE"/>
    <w:multiLevelType w:val="hybridMultilevel"/>
    <w:tmpl w:val="883E4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ADD"/>
    <w:multiLevelType w:val="hybridMultilevel"/>
    <w:tmpl w:val="50E831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D61"/>
    <w:multiLevelType w:val="multilevel"/>
    <w:tmpl w:val="A590F3CE"/>
    <w:lvl w:ilvl="0">
      <w:start w:val="1"/>
      <w:numFmt w:val="decimal"/>
      <w:lvlText w:val="%1."/>
      <w:lvlJc w:val="left"/>
      <w:pPr>
        <w:tabs>
          <w:tab w:val="num" w:pos="-1560"/>
        </w:tabs>
        <w:ind w:left="-1560" w:hanging="360"/>
      </w:pPr>
    </w:lvl>
    <w:lvl w:ilvl="1">
      <w:start w:val="1"/>
      <w:numFmt w:val="decimal"/>
      <w:lvlText w:val="%2."/>
      <w:lvlJc w:val="left"/>
      <w:pPr>
        <w:tabs>
          <w:tab w:val="num" w:pos="-840"/>
        </w:tabs>
        <w:ind w:left="-840" w:hanging="360"/>
      </w:pPr>
    </w:lvl>
    <w:lvl w:ilvl="2">
      <w:start w:val="1"/>
      <w:numFmt w:val="decimal"/>
      <w:lvlText w:val="%3."/>
      <w:lvlJc w:val="left"/>
      <w:pPr>
        <w:tabs>
          <w:tab w:val="num" w:pos="-120"/>
        </w:tabs>
        <w:ind w:left="-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entative="1">
      <w:start w:val="1"/>
      <w:numFmt w:val="decimal"/>
      <w:lvlText w:val="%5."/>
      <w:lvlJc w:val="left"/>
      <w:pPr>
        <w:tabs>
          <w:tab w:val="num" w:pos="1320"/>
        </w:tabs>
        <w:ind w:left="1320" w:hanging="360"/>
      </w:pPr>
    </w:lvl>
    <w:lvl w:ilvl="5" w:tentative="1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entative="1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 w:tentative="1">
      <w:start w:val="1"/>
      <w:numFmt w:val="decimal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11">
    <w:nsid w:val="6C111D89"/>
    <w:multiLevelType w:val="hybridMultilevel"/>
    <w:tmpl w:val="9B08EA5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0A3F4E"/>
    <w:multiLevelType w:val="hybridMultilevel"/>
    <w:tmpl w:val="A394F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8"/>
    <w:rsid w:val="000018AC"/>
    <w:rsid w:val="000064F2"/>
    <w:rsid w:val="00011953"/>
    <w:rsid w:val="0001323B"/>
    <w:rsid w:val="0001374E"/>
    <w:rsid w:val="00013BC6"/>
    <w:rsid w:val="00016B12"/>
    <w:rsid w:val="00027C4A"/>
    <w:rsid w:val="00031AAE"/>
    <w:rsid w:val="00033DCC"/>
    <w:rsid w:val="00037138"/>
    <w:rsid w:val="0004065E"/>
    <w:rsid w:val="000418FD"/>
    <w:rsid w:val="00041D12"/>
    <w:rsid w:val="00043F50"/>
    <w:rsid w:val="0005139C"/>
    <w:rsid w:val="0005679F"/>
    <w:rsid w:val="00057935"/>
    <w:rsid w:val="0006562A"/>
    <w:rsid w:val="000718B9"/>
    <w:rsid w:val="0007237E"/>
    <w:rsid w:val="000735A8"/>
    <w:rsid w:val="00080077"/>
    <w:rsid w:val="00082952"/>
    <w:rsid w:val="00085815"/>
    <w:rsid w:val="00086C06"/>
    <w:rsid w:val="00087C96"/>
    <w:rsid w:val="00090506"/>
    <w:rsid w:val="00092964"/>
    <w:rsid w:val="00093405"/>
    <w:rsid w:val="000A10D2"/>
    <w:rsid w:val="000A2A6A"/>
    <w:rsid w:val="000A38ED"/>
    <w:rsid w:val="000B4C3F"/>
    <w:rsid w:val="000B68B8"/>
    <w:rsid w:val="000C07AB"/>
    <w:rsid w:val="000C54C1"/>
    <w:rsid w:val="000D05D0"/>
    <w:rsid w:val="000D10B3"/>
    <w:rsid w:val="000D2FDD"/>
    <w:rsid w:val="000D5E7E"/>
    <w:rsid w:val="000E08A6"/>
    <w:rsid w:val="000E2EFB"/>
    <w:rsid w:val="000E4790"/>
    <w:rsid w:val="000E4824"/>
    <w:rsid w:val="000E4905"/>
    <w:rsid w:val="000E7CCC"/>
    <w:rsid w:val="000F1F6E"/>
    <w:rsid w:val="000F26F8"/>
    <w:rsid w:val="000F4FFD"/>
    <w:rsid w:val="0010467A"/>
    <w:rsid w:val="00104DF7"/>
    <w:rsid w:val="00105775"/>
    <w:rsid w:val="00106CDF"/>
    <w:rsid w:val="00115FCF"/>
    <w:rsid w:val="00120640"/>
    <w:rsid w:val="00121209"/>
    <w:rsid w:val="0012526B"/>
    <w:rsid w:val="001253FD"/>
    <w:rsid w:val="00134D91"/>
    <w:rsid w:val="001359B1"/>
    <w:rsid w:val="001379DB"/>
    <w:rsid w:val="00140C4A"/>
    <w:rsid w:val="00146874"/>
    <w:rsid w:val="00150715"/>
    <w:rsid w:val="001541F9"/>
    <w:rsid w:val="00154DE6"/>
    <w:rsid w:val="001602A7"/>
    <w:rsid w:val="00160361"/>
    <w:rsid w:val="00161000"/>
    <w:rsid w:val="00163F00"/>
    <w:rsid w:val="00167185"/>
    <w:rsid w:val="001702B7"/>
    <w:rsid w:val="001737A6"/>
    <w:rsid w:val="00174276"/>
    <w:rsid w:val="0018072E"/>
    <w:rsid w:val="0018293D"/>
    <w:rsid w:val="0018579C"/>
    <w:rsid w:val="00186BB6"/>
    <w:rsid w:val="00190CAE"/>
    <w:rsid w:val="001A235D"/>
    <w:rsid w:val="001A29CA"/>
    <w:rsid w:val="001A4696"/>
    <w:rsid w:val="001B2C6A"/>
    <w:rsid w:val="001C0167"/>
    <w:rsid w:val="001C40D0"/>
    <w:rsid w:val="001C7371"/>
    <w:rsid w:val="001D29CA"/>
    <w:rsid w:val="001D60C5"/>
    <w:rsid w:val="001D6B04"/>
    <w:rsid w:val="001E2654"/>
    <w:rsid w:val="001F07C0"/>
    <w:rsid w:val="001F3856"/>
    <w:rsid w:val="001F4984"/>
    <w:rsid w:val="001F52DB"/>
    <w:rsid w:val="001F5A69"/>
    <w:rsid w:val="001F5F5C"/>
    <w:rsid w:val="002004F6"/>
    <w:rsid w:val="00201F23"/>
    <w:rsid w:val="00202192"/>
    <w:rsid w:val="0020330C"/>
    <w:rsid w:val="00207B05"/>
    <w:rsid w:val="00207FDA"/>
    <w:rsid w:val="00211651"/>
    <w:rsid w:val="002126AF"/>
    <w:rsid w:val="00216934"/>
    <w:rsid w:val="00225578"/>
    <w:rsid w:val="00233BFE"/>
    <w:rsid w:val="00236BC8"/>
    <w:rsid w:val="00242DBF"/>
    <w:rsid w:val="00244E71"/>
    <w:rsid w:val="00260E2A"/>
    <w:rsid w:val="00261A61"/>
    <w:rsid w:val="002621EA"/>
    <w:rsid w:val="002643EF"/>
    <w:rsid w:val="002654A8"/>
    <w:rsid w:val="00265F3F"/>
    <w:rsid w:val="00266FA7"/>
    <w:rsid w:val="00272FCD"/>
    <w:rsid w:val="00276454"/>
    <w:rsid w:val="00277AB7"/>
    <w:rsid w:val="00280236"/>
    <w:rsid w:val="0028034C"/>
    <w:rsid w:val="002814F2"/>
    <w:rsid w:val="0028264A"/>
    <w:rsid w:val="00283B02"/>
    <w:rsid w:val="00284EE2"/>
    <w:rsid w:val="002868B4"/>
    <w:rsid w:val="00297AEA"/>
    <w:rsid w:val="002A42F7"/>
    <w:rsid w:val="002A4364"/>
    <w:rsid w:val="002A5044"/>
    <w:rsid w:val="002A55EB"/>
    <w:rsid w:val="002A6C48"/>
    <w:rsid w:val="002B21B6"/>
    <w:rsid w:val="002B4292"/>
    <w:rsid w:val="002C10B2"/>
    <w:rsid w:val="002C5388"/>
    <w:rsid w:val="002C651A"/>
    <w:rsid w:val="002C7614"/>
    <w:rsid w:val="002D349A"/>
    <w:rsid w:val="002D5B82"/>
    <w:rsid w:val="002D68CC"/>
    <w:rsid w:val="002E09C3"/>
    <w:rsid w:val="002E0D31"/>
    <w:rsid w:val="002E34D6"/>
    <w:rsid w:val="002E4AB8"/>
    <w:rsid w:val="002E5CA7"/>
    <w:rsid w:val="002F223B"/>
    <w:rsid w:val="002F23DC"/>
    <w:rsid w:val="002F2B96"/>
    <w:rsid w:val="002F6EB5"/>
    <w:rsid w:val="002F733F"/>
    <w:rsid w:val="002F79F4"/>
    <w:rsid w:val="00300C09"/>
    <w:rsid w:val="00301FE6"/>
    <w:rsid w:val="00302ACB"/>
    <w:rsid w:val="003034C0"/>
    <w:rsid w:val="00304208"/>
    <w:rsid w:val="00305588"/>
    <w:rsid w:val="00306C5D"/>
    <w:rsid w:val="00331525"/>
    <w:rsid w:val="00334004"/>
    <w:rsid w:val="003348DA"/>
    <w:rsid w:val="00334931"/>
    <w:rsid w:val="003369E1"/>
    <w:rsid w:val="003423A6"/>
    <w:rsid w:val="0034263B"/>
    <w:rsid w:val="003453DE"/>
    <w:rsid w:val="00347ECB"/>
    <w:rsid w:val="0035090F"/>
    <w:rsid w:val="00354AED"/>
    <w:rsid w:val="00354E5F"/>
    <w:rsid w:val="0035654A"/>
    <w:rsid w:val="003648A4"/>
    <w:rsid w:val="0036492D"/>
    <w:rsid w:val="00371650"/>
    <w:rsid w:val="00371708"/>
    <w:rsid w:val="0038138C"/>
    <w:rsid w:val="0038152C"/>
    <w:rsid w:val="00387982"/>
    <w:rsid w:val="00397554"/>
    <w:rsid w:val="003A0899"/>
    <w:rsid w:val="003A3E9F"/>
    <w:rsid w:val="003A7F4E"/>
    <w:rsid w:val="003B00F8"/>
    <w:rsid w:val="003B3FDD"/>
    <w:rsid w:val="003B4402"/>
    <w:rsid w:val="003B7C84"/>
    <w:rsid w:val="003C77B7"/>
    <w:rsid w:val="003D2D35"/>
    <w:rsid w:val="003D7B09"/>
    <w:rsid w:val="003E58A8"/>
    <w:rsid w:val="003E64F2"/>
    <w:rsid w:val="003F428F"/>
    <w:rsid w:val="003F6EC4"/>
    <w:rsid w:val="00400EF8"/>
    <w:rsid w:val="00403C05"/>
    <w:rsid w:val="004045D0"/>
    <w:rsid w:val="00405F6C"/>
    <w:rsid w:val="0041433A"/>
    <w:rsid w:val="00421401"/>
    <w:rsid w:val="00423CF9"/>
    <w:rsid w:val="00425254"/>
    <w:rsid w:val="00432077"/>
    <w:rsid w:val="0043654C"/>
    <w:rsid w:val="00452E19"/>
    <w:rsid w:val="00456792"/>
    <w:rsid w:val="004601B2"/>
    <w:rsid w:val="0046042E"/>
    <w:rsid w:val="00462040"/>
    <w:rsid w:val="00462330"/>
    <w:rsid w:val="0046420C"/>
    <w:rsid w:val="00464EB7"/>
    <w:rsid w:val="00467873"/>
    <w:rsid w:val="00467EAF"/>
    <w:rsid w:val="00471B52"/>
    <w:rsid w:val="00480AC5"/>
    <w:rsid w:val="00480D18"/>
    <w:rsid w:val="004822E6"/>
    <w:rsid w:val="00483DBA"/>
    <w:rsid w:val="00484D68"/>
    <w:rsid w:val="0048667A"/>
    <w:rsid w:val="00486F23"/>
    <w:rsid w:val="004906C3"/>
    <w:rsid w:val="00495398"/>
    <w:rsid w:val="00495E3F"/>
    <w:rsid w:val="0049709F"/>
    <w:rsid w:val="004A33A9"/>
    <w:rsid w:val="004A4494"/>
    <w:rsid w:val="004A642B"/>
    <w:rsid w:val="004B01A2"/>
    <w:rsid w:val="004B0A82"/>
    <w:rsid w:val="004B13DE"/>
    <w:rsid w:val="004B4A3B"/>
    <w:rsid w:val="004B605B"/>
    <w:rsid w:val="004B75FC"/>
    <w:rsid w:val="004C0715"/>
    <w:rsid w:val="004C45A5"/>
    <w:rsid w:val="004C4B54"/>
    <w:rsid w:val="004C4F1E"/>
    <w:rsid w:val="004C54F8"/>
    <w:rsid w:val="004C7F9F"/>
    <w:rsid w:val="004D0216"/>
    <w:rsid w:val="004D0755"/>
    <w:rsid w:val="004D0B44"/>
    <w:rsid w:val="004D2193"/>
    <w:rsid w:val="004D4CDE"/>
    <w:rsid w:val="004D5008"/>
    <w:rsid w:val="004D61C6"/>
    <w:rsid w:val="004E29AA"/>
    <w:rsid w:val="004E3B6B"/>
    <w:rsid w:val="004F1177"/>
    <w:rsid w:val="004F293F"/>
    <w:rsid w:val="004F29D9"/>
    <w:rsid w:val="004F3DF9"/>
    <w:rsid w:val="004F4290"/>
    <w:rsid w:val="004F704F"/>
    <w:rsid w:val="0050177E"/>
    <w:rsid w:val="00502052"/>
    <w:rsid w:val="00502CE4"/>
    <w:rsid w:val="00503647"/>
    <w:rsid w:val="00503CD6"/>
    <w:rsid w:val="00506BE8"/>
    <w:rsid w:val="0051460F"/>
    <w:rsid w:val="00515889"/>
    <w:rsid w:val="00517127"/>
    <w:rsid w:val="00520912"/>
    <w:rsid w:val="00520B60"/>
    <w:rsid w:val="005246A9"/>
    <w:rsid w:val="00525113"/>
    <w:rsid w:val="00525E03"/>
    <w:rsid w:val="00527253"/>
    <w:rsid w:val="005276F8"/>
    <w:rsid w:val="005313C6"/>
    <w:rsid w:val="005320AA"/>
    <w:rsid w:val="00532C49"/>
    <w:rsid w:val="005330D4"/>
    <w:rsid w:val="005338B2"/>
    <w:rsid w:val="00533D2E"/>
    <w:rsid w:val="00535A23"/>
    <w:rsid w:val="0055072F"/>
    <w:rsid w:val="005547E6"/>
    <w:rsid w:val="00557109"/>
    <w:rsid w:val="005579DD"/>
    <w:rsid w:val="00560331"/>
    <w:rsid w:val="005612C2"/>
    <w:rsid w:val="005636ED"/>
    <w:rsid w:val="00566D48"/>
    <w:rsid w:val="00573718"/>
    <w:rsid w:val="00575A04"/>
    <w:rsid w:val="005772E1"/>
    <w:rsid w:val="00583F31"/>
    <w:rsid w:val="00592C35"/>
    <w:rsid w:val="005932B4"/>
    <w:rsid w:val="005A49D2"/>
    <w:rsid w:val="005A512E"/>
    <w:rsid w:val="005A7B4F"/>
    <w:rsid w:val="005B15C0"/>
    <w:rsid w:val="005B3CFC"/>
    <w:rsid w:val="005B4D82"/>
    <w:rsid w:val="005B77AB"/>
    <w:rsid w:val="005C2163"/>
    <w:rsid w:val="005D09CE"/>
    <w:rsid w:val="005E3F80"/>
    <w:rsid w:val="005E4149"/>
    <w:rsid w:val="005E6D8C"/>
    <w:rsid w:val="005F0C44"/>
    <w:rsid w:val="0060164E"/>
    <w:rsid w:val="0060437D"/>
    <w:rsid w:val="00613BCD"/>
    <w:rsid w:val="00613EF8"/>
    <w:rsid w:val="00614F32"/>
    <w:rsid w:val="00615C04"/>
    <w:rsid w:val="0061664D"/>
    <w:rsid w:val="00617AA7"/>
    <w:rsid w:val="0062184D"/>
    <w:rsid w:val="00621F63"/>
    <w:rsid w:val="00622CDD"/>
    <w:rsid w:val="006234F6"/>
    <w:rsid w:val="0062734C"/>
    <w:rsid w:val="00633E1F"/>
    <w:rsid w:val="0063405F"/>
    <w:rsid w:val="00636E7D"/>
    <w:rsid w:val="0064085B"/>
    <w:rsid w:val="006475F7"/>
    <w:rsid w:val="00651ABE"/>
    <w:rsid w:val="00652BC7"/>
    <w:rsid w:val="00653D16"/>
    <w:rsid w:val="00654CAB"/>
    <w:rsid w:val="00656CC2"/>
    <w:rsid w:val="00657C49"/>
    <w:rsid w:val="006604E4"/>
    <w:rsid w:val="00661252"/>
    <w:rsid w:val="006703B8"/>
    <w:rsid w:val="00676E5E"/>
    <w:rsid w:val="0068205A"/>
    <w:rsid w:val="0068671A"/>
    <w:rsid w:val="00686F45"/>
    <w:rsid w:val="0068731F"/>
    <w:rsid w:val="00694284"/>
    <w:rsid w:val="006943FF"/>
    <w:rsid w:val="00695C0D"/>
    <w:rsid w:val="006A3460"/>
    <w:rsid w:val="006A74CF"/>
    <w:rsid w:val="006B07EA"/>
    <w:rsid w:val="006B1BA7"/>
    <w:rsid w:val="006B1FD5"/>
    <w:rsid w:val="006B250B"/>
    <w:rsid w:val="006B26FE"/>
    <w:rsid w:val="006B3E57"/>
    <w:rsid w:val="006B6EE1"/>
    <w:rsid w:val="006C3DCD"/>
    <w:rsid w:val="006D083A"/>
    <w:rsid w:val="006D13FE"/>
    <w:rsid w:val="006D4D3A"/>
    <w:rsid w:val="006E5523"/>
    <w:rsid w:val="006E6356"/>
    <w:rsid w:val="006E6373"/>
    <w:rsid w:val="006E6C6D"/>
    <w:rsid w:val="006E74CE"/>
    <w:rsid w:val="006F4140"/>
    <w:rsid w:val="006F6543"/>
    <w:rsid w:val="006F6849"/>
    <w:rsid w:val="00700A59"/>
    <w:rsid w:val="00702D94"/>
    <w:rsid w:val="00706F0F"/>
    <w:rsid w:val="007079FD"/>
    <w:rsid w:val="00712A25"/>
    <w:rsid w:val="007130EA"/>
    <w:rsid w:val="00713BD0"/>
    <w:rsid w:val="0071608D"/>
    <w:rsid w:val="00723590"/>
    <w:rsid w:val="00724293"/>
    <w:rsid w:val="007263C9"/>
    <w:rsid w:val="00732065"/>
    <w:rsid w:val="00735B32"/>
    <w:rsid w:val="00736103"/>
    <w:rsid w:val="00741FD8"/>
    <w:rsid w:val="00744D25"/>
    <w:rsid w:val="0074692F"/>
    <w:rsid w:val="00755C81"/>
    <w:rsid w:val="00761EE9"/>
    <w:rsid w:val="00762BA1"/>
    <w:rsid w:val="0076597A"/>
    <w:rsid w:val="00765FEF"/>
    <w:rsid w:val="00772FDF"/>
    <w:rsid w:val="0077469F"/>
    <w:rsid w:val="0077733A"/>
    <w:rsid w:val="00782500"/>
    <w:rsid w:val="007900CC"/>
    <w:rsid w:val="0079454C"/>
    <w:rsid w:val="00796876"/>
    <w:rsid w:val="007969CA"/>
    <w:rsid w:val="007A3970"/>
    <w:rsid w:val="007A4951"/>
    <w:rsid w:val="007A4B65"/>
    <w:rsid w:val="007A64AD"/>
    <w:rsid w:val="007A7047"/>
    <w:rsid w:val="007B3796"/>
    <w:rsid w:val="007B4B2E"/>
    <w:rsid w:val="007B5DA6"/>
    <w:rsid w:val="007C3FB7"/>
    <w:rsid w:val="007C64B2"/>
    <w:rsid w:val="007D37ED"/>
    <w:rsid w:val="007D57DF"/>
    <w:rsid w:val="007D5CFB"/>
    <w:rsid w:val="007D7332"/>
    <w:rsid w:val="007E01D5"/>
    <w:rsid w:val="007E09D4"/>
    <w:rsid w:val="007E1CE1"/>
    <w:rsid w:val="007E57F4"/>
    <w:rsid w:val="007E583B"/>
    <w:rsid w:val="007E6497"/>
    <w:rsid w:val="007F71EA"/>
    <w:rsid w:val="007F74BB"/>
    <w:rsid w:val="00802C82"/>
    <w:rsid w:val="008061CA"/>
    <w:rsid w:val="0080653A"/>
    <w:rsid w:val="008101ED"/>
    <w:rsid w:val="00812969"/>
    <w:rsid w:val="00813DF8"/>
    <w:rsid w:val="00813FEF"/>
    <w:rsid w:val="008145D0"/>
    <w:rsid w:val="00824708"/>
    <w:rsid w:val="00830630"/>
    <w:rsid w:val="00835030"/>
    <w:rsid w:val="008401A4"/>
    <w:rsid w:val="008651B1"/>
    <w:rsid w:val="008663D3"/>
    <w:rsid w:val="008727E8"/>
    <w:rsid w:val="0087441E"/>
    <w:rsid w:val="00877EB6"/>
    <w:rsid w:val="00880030"/>
    <w:rsid w:val="008807A1"/>
    <w:rsid w:val="00880AED"/>
    <w:rsid w:val="008842D2"/>
    <w:rsid w:val="0089195B"/>
    <w:rsid w:val="00894317"/>
    <w:rsid w:val="00894672"/>
    <w:rsid w:val="0089765B"/>
    <w:rsid w:val="008A1473"/>
    <w:rsid w:val="008A1520"/>
    <w:rsid w:val="008A17FF"/>
    <w:rsid w:val="008B15C0"/>
    <w:rsid w:val="008B2291"/>
    <w:rsid w:val="008C3FDC"/>
    <w:rsid w:val="008C467A"/>
    <w:rsid w:val="008C4ED8"/>
    <w:rsid w:val="008C4FF0"/>
    <w:rsid w:val="008C6BF8"/>
    <w:rsid w:val="008D2069"/>
    <w:rsid w:val="008D2D57"/>
    <w:rsid w:val="008D79DF"/>
    <w:rsid w:val="008E52D3"/>
    <w:rsid w:val="008E701F"/>
    <w:rsid w:val="008E7568"/>
    <w:rsid w:val="008F3AB8"/>
    <w:rsid w:val="008F5372"/>
    <w:rsid w:val="008F6175"/>
    <w:rsid w:val="008F7F72"/>
    <w:rsid w:val="009007A0"/>
    <w:rsid w:val="00901AA1"/>
    <w:rsid w:val="00905CD0"/>
    <w:rsid w:val="00910FE3"/>
    <w:rsid w:val="00920B3C"/>
    <w:rsid w:val="00922275"/>
    <w:rsid w:val="009249E7"/>
    <w:rsid w:val="009263E4"/>
    <w:rsid w:val="00926555"/>
    <w:rsid w:val="0093018E"/>
    <w:rsid w:val="009313DA"/>
    <w:rsid w:val="00936186"/>
    <w:rsid w:val="009361F8"/>
    <w:rsid w:val="00936AD2"/>
    <w:rsid w:val="0094415C"/>
    <w:rsid w:val="00944553"/>
    <w:rsid w:val="009465E2"/>
    <w:rsid w:val="00950F11"/>
    <w:rsid w:val="00952A8E"/>
    <w:rsid w:val="00961166"/>
    <w:rsid w:val="00964893"/>
    <w:rsid w:val="00971BE7"/>
    <w:rsid w:val="00972428"/>
    <w:rsid w:val="00977C93"/>
    <w:rsid w:val="00991363"/>
    <w:rsid w:val="00993D25"/>
    <w:rsid w:val="009A0D1D"/>
    <w:rsid w:val="009A215A"/>
    <w:rsid w:val="009A29F0"/>
    <w:rsid w:val="009A4094"/>
    <w:rsid w:val="009A5604"/>
    <w:rsid w:val="009B265D"/>
    <w:rsid w:val="009B7000"/>
    <w:rsid w:val="009B7C9A"/>
    <w:rsid w:val="009C0A82"/>
    <w:rsid w:val="009C0FEF"/>
    <w:rsid w:val="009C1D7B"/>
    <w:rsid w:val="009C4FE9"/>
    <w:rsid w:val="009D0AFD"/>
    <w:rsid w:val="009D1ECC"/>
    <w:rsid w:val="009E0488"/>
    <w:rsid w:val="009E10DB"/>
    <w:rsid w:val="009E32FE"/>
    <w:rsid w:val="009E3B37"/>
    <w:rsid w:val="009E71C1"/>
    <w:rsid w:val="009E7A7E"/>
    <w:rsid w:val="009F0C15"/>
    <w:rsid w:val="009F28AA"/>
    <w:rsid w:val="009F4A3D"/>
    <w:rsid w:val="009F4A9E"/>
    <w:rsid w:val="009F613C"/>
    <w:rsid w:val="00A052F6"/>
    <w:rsid w:val="00A06F87"/>
    <w:rsid w:val="00A07944"/>
    <w:rsid w:val="00A07DCB"/>
    <w:rsid w:val="00A17EF5"/>
    <w:rsid w:val="00A22416"/>
    <w:rsid w:val="00A32C54"/>
    <w:rsid w:val="00A52C9B"/>
    <w:rsid w:val="00A531F0"/>
    <w:rsid w:val="00A561FC"/>
    <w:rsid w:val="00A56374"/>
    <w:rsid w:val="00A57815"/>
    <w:rsid w:val="00A60489"/>
    <w:rsid w:val="00A61A2A"/>
    <w:rsid w:val="00A7012C"/>
    <w:rsid w:val="00A70D04"/>
    <w:rsid w:val="00A80DC8"/>
    <w:rsid w:val="00A86905"/>
    <w:rsid w:val="00A90EBE"/>
    <w:rsid w:val="00A922DF"/>
    <w:rsid w:val="00AA17D2"/>
    <w:rsid w:val="00AA6827"/>
    <w:rsid w:val="00AA78E0"/>
    <w:rsid w:val="00AB00AF"/>
    <w:rsid w:val="00AB09F2"/>
    <w:rsid w:val="00AB22F7"/>
    <w:rsid w:val="00AB7116"/>
    <w:rsid w:val="00AB7E1C"/>
    <w:rsid w:val="00AC1E84"/>
    <w:rsid w:val="00AC60DD"/>
    <w:rsid w:val="00AD7FE8"/>
    <w:rsid w:val="00AE4A35"/>
    <w:rsid w:val="00AE5FFE"/>
    <w:rsid w:val="00AF5072"/>
    <w:rsid w:val="00AF51D2"/>
    <w:rsid w:val="00B0160E"/>
    <w:rsid w:val="00B0226F"/>
    <w:rsid w:val="00B06572"/>
    <w:rsid w:val="00B07E3B"/>
    <w:rsid w:val="00B14292"/>
    <w:rsid w:val="00B37C0A"/>
    <w:rsid w:val="00B410DE"/>
    <w:rsid w:val="00B42892"/>
    <w:rsid w:val="00B42B9C"/>
    <w:rsid w:val="00B469ED"/>
    <w:rsid w:val="00B472B2"/>
    <w:rsid w:val="00B53CF0"/>
    <w:rsid w:val="00B55111"/>
    <w:rsid w:val="00B56241"/>
    <w:rsid w:val="00B5768E"/>
    <w:rsid w:val="00B63BA6"/>
    <w:rsid w:val="00B63CE1"/>
    <w:rsid w:val="00B6737B"/>
    <w:rsid w:val="00B70116"/>
    <w:rsid w:val="00B80891"/>
    <w:rsid w:val="00B83A7F"/>
    <w:rsid w:val="00B85C64"/>
    <w:rsid w:val="00B865FB"/>
    <w:rsid w:val="00B8703B"/>
    <w:rsid w:val="00B876D5"/>
    <w:rsid w:val="00B90654"/>
    <w:rsid w:val="00B9419F"/>
    <w:rsid w:val="00B953F8"/>
    <w:rsid w:val="00B978EE"/>
    <w:rsid w:val="00BA0F94"/>
    <w:rsid w:val="00BA182D"/>
    <w:rsid w:val="00BA21E1"/>
    <w:rsid w:val="00BA33CE"/>
    <w:rsid w:val="00BB0248"/>
    <w:rsid w:val="00BB5C46"/>
    <w:rsid w:val="00BC0B25"/>
    <w:rsid w:val="00BC279B"/>
    <w:rsid w:val="00BC4A08"/>
    <w:rsid w:val="00BC5467"/>
    <w:rsid w:val="00BC564F"/>
    <w:rsid w:val="00BC6A54"/>
    <w:rsid w:val="00BD0A4F"/>
    <w:rsid w:val="00BD0BC5"/>
    <w:rsid w:val="00BD7D92"/>
    <w:rsid w:val="00BE1591"/>
    <w:rsid w:val="00BE5299"/>
    <w:rsid w:val="00BF065D"/>
    <w:rsid w:val="00BF603E"/>
    <w:rsid w:val="00C0279D"/>
    <w:rsid w:val="00C144AD"/>
    <w:rsid w:val="00C16495"/>
    <w:rsid w:val="00C165B2"/>
    <w:rsid w:val="00C204B3"/>
    <w:rsid w:val="00C215F0"/>
    <w:rsid w:val="00C22571"/>
    <w:rsid w:val="00C24337"/>
    <w:rsid w:val="00C360C8"/>
    <w:rsid w:val="00C36332"/>
    <w:rsid w:val="00C36D80"/>
    <w:rsid w:val="00C37F4F"/>
    <w:rsid w:val="00C40347"/>
    <w:rsid w:val="00C42FFD"/>
    <w:rsid w:val="00C51041"/>
    <w:rsid w:val="00C512D6"/>
    <w:rsid w:val="00C534C7"/>
    <w:rsid w:val="00C5383D"/>
    <w:rsid w:val="00C6028F"/>
    <w:rsid w:val="00C7128B"/>
    <w:rsid w:val="00C73948"/>
    <w:rsid w:val="00C759D9"/>
    <w:rsid w:val="00C75F6C"/>
    <w:rsid w:val="00C828E3"/>
    <w:rsid w:val="00C90E99"/>
    <w:rsid w:val="00C936F9"/>
    <w:rsid w:val="00C93A0B"/>
    <w:rsid w:val="00C95762"/>
    <w:rsid w:val="00C96BB8"/>
    <w:rsid w:val="00C96E39"/>
    <w:rsid w:val="00CA0BFA"/>
    <w:rsid w:val="00CA3096"/>
    <w:rsid w:val="00CA5E3B"/>
    <w:rsid w:val="00CA6CAA"/>
    <w:rsid w:val="00CA6DC8"/>
    <w:rsid w:val="00CB069F"/>
    <w:rsid w:val="00CB232B"/>
    <w:rsid w:val="00CB2AB7"/>
    <w:rsid w:val="00CB54BB"/>
    <w:rsid w:val="00CB5DD0"/>
    <w:rsid w:val="00CB5F6C"/>
    <w:rsid w:val="00CB7DA1"/>
    <w:rsid w:val="00CC3DCC"/>
    <w:rsid w:val="00CC6D2A"/>
    <w:rsid w:val="00CD0265"/>
    <w:rsid w:val="00CD1136"/>
    <w:rsid w:val="00CD3692"/>
    <w:rsid w:val="00CD585D"/>
    <w:rsid w:val="00CD7518"/>
    <w:rsid w:val="00CE2F51"/>
    <w:rsid w:val="00CF3EC5"/>
    <w:rsid w:val="00CF4087"/>
    <w:rsid w:val="00CF638C"/>
    <w:rsid w:val="00D121D6"/>
    <w:rsid w:val="00D13C34"/>
    <w:rsid w:val="00D16534"/>
    <w:rsid w:val="00D24730"/>
    <w:rsid w:val="00D26E2A"/>
    <w:rsid w:val="00D35563"/>
    <w:rsid w:val="00D41D45"/>
    <w:rsid w:val="00D43574"/>
    <w:rsid w:val="00D43690"/>
    <w:rsid w:val="00D44DD9"/>
    <w:rsid w:val="00D46DC0"/>
    <w:rsid w:val="00D501AF"/>
    <w:rsid w:val="00D50307"/>
    <w:rsid w:val="00D50AB5"/>
    <w:rsid w:val="00D52DAE"/>
    <w:rsid w:val="00D5402F"/>
    <w:rsid w:val="00D55062"/>
    <w:rsid w:val="00D5749C"/>
    <w:rsid w:val="00D617FD"/>
    <w:rsid w:val="00D6604F"/>
    <w:rsid w:val="00D6616C"/>
    <w:rsid w:val="00D74C97"/>
    <w:rsid w:val="00D74CEA"/>
    <w:rsid w:val="00D81977"/>
    <w:rsid w:val="00D8302C"/>
    <w:rsid w:val="00D835EB"/>
    <w:rsid w:val="00D85280"/>
    <w:rsid w:val="00D86F9E"/>
    <w:rsid w:val="00D87D5A"/>
    <w:rsid w:val="00D903E3"/>
    <w:rsid w:val="00D941EC"/>
    <w:rsid w:val="00D944F3"/>
    <w:rsid w:val="00D94A6A"/>
    <w:rsid w:val="00D955AA"/>
    <w:rsid w:val="00DA02FC"/>
    <w:rsid w:val="00DA3B41"/>
    <w:rsid w:val="00DB12FA"/>
    <w:rsid w:val="00DB4E55"/>
    <w:rsid w:val="00DB776E"/>
    <w:rsid w:val="00DC0999"/>
    <w:rsid w:val="00DC28E8"/>
    <w:rsid w:val="00DC3E50"/>
    <w:rsid w:val="00DC4DC0"/>
    <w:rsid w:val="00DC5E5B"/>
    <w:rsid w:val="00DC7900"/>
    <w:rsid w:val="00DD0950"/>
    <w:rsid w:val="00DD2CC1"/>
    <w:rsid w:val="00DD365B"/>
    <w:rsid w:val="00DD67AB"/>
    <w:rsid w:val="00DE4F7B"/>
    <w:rsid w:val="00DF04FB"/>
    <w:rsid w:val="00DF7BC0"/>
    <w:rsid w:val="00E00547"/>
    <w:rsid w:val="00E0351E"/>
    <w:rsid w:val="00E044AF"/>
    <w:rsid w:val="00E10818"/>
    <w:rsid w:val="00E11C89"/>
    <w:rsid w:val="00E177EB"/>
    <w:rsid w:val="00E254A6"/>
    <w:rsid w:val="00E26492"/>
    <w:rsid w:val="00E27D33"/>
    <w:rsid w:val="00E31429"/>
    <w:rsid w:val="00E314BE"/>
    <w:rsid w:val="00E37A05"/>
    <w:rsid w:val="00E42C25"/>
    <w:rsid w:val="00E53173"/>
    <w:rsid w:val="00E5354F"/>
    <w:rsid w:val="00E571C6"/>
    <w:rsid w:val="00E5721D"/>
    <w:rsid w:val="00E7132B"/>
    <w:rsid w:val="00E71FEA"/>
    <w:rsid w:val="00E8024C"/>
    <w:rsid w:val="00E91758"/>
    <w:rsid w:val="00E9200F"/>
    <w:rsid w:val="00E95620"/>
    <w:rsid w:val="00E96106"/>
    <w:rsid w:val="00EA0DAF"/>
    <w:rsid w:val="00EA3B42"/>
    <w:rsid w:val="00EB00B6"/>
    <w:rsid w:val="00EB3B65"/>
    <w:rsid w:val="00EB3CE7"/>
    <w:rsid w:val="00EB3F95"/>
    <w:rsid w:val="00EB452F"/>
    <w:rsid w:val="00EB5E7C"/>
    <w:rsid w:val="00EC0941"/>
    <w:rsid w:val="00EC0FB2"/>
    <w:rsid w:val="00EC128E"/>
    <w:rsid w:val="00ED556D"/>
    <w:rsid w:val="00ED5F22"/>
    <w:rsid w:val="00ED61B2"/>
    <w:rsid w:val="00EE1FFC"/>
    <w:rsid w:val="00EE55CB"/>
    <w:rsid w:val="00EF3541"/>
    <w:rsid w:val="00F0032B"/>
    <w:rsid w:val="00F03C01"/>
    <w:rsid w:val="00F04471"/>
    <w:rsid w:val="00F05FEE"/>
    <w:rsid w:val="00F16446"/>
    <w:rsid w:val="00F2089A"/>
    <w:rsid w:val="00F21828"/>
    <w:rsid w:val="00F23D83"/>
    <w:rsid w:val="00F243E1"/>
    <w:rsid w:val="00F347FF"/>
    <w:rsid w:val="00F34985"/>
    <w:rsid w:val="00F374DD"/>
    <w:rsid w:val="00F41D20"/>
    <w:rsid w:val="00F41E0C"/>
    <w:rsid w:val="00F42755"/>
    <w:rsid w:val="00F44FB9"/>
    <w:rsid w:val="00F47556"/>
    <w:rsid w:val="00F47BFB"/>
    <w:rsid w:val="00F5279C"/>
    <w:rsid w:val="00F55A80"/>
    <w:rsid w:val="00F70401"/>
    <w:rsid w:val="00F71FAD"/>
    <w:rsid w:val="00F7299B"/>
    <w:rsid w:val="00F75B3E"/>
    <w:rsid w:val="00F76D15"/>
    <w:rsid w:val="00F85188"/>
    <w:rsid w:val="00F86D00"/>
    <w:rsid w:val="00F87868"/>
    <w:rsid w:val="00F932A8"/>
    <w:rsid w:val="00F9566F"/>
    <w:rsid w:val="00F96231"/>
    <w:rsid w:val="00FA0DF6"/>
    <w:rsid w:val="00FA2ECA"/>
    <w:rsid w:val="00FA321C"/>
    <w:rsid w:val="00FB122F"/>
    <w:rsid w:val="00FB2D6B"/>
    <w:rsid w:val="00FB6F35"/>
    <w:rsid w:val="00FB795E"/>
    <w:rsid w:val="00FC06D4"/>
    <w:rsid w:val="00FC2E53"/>
    <w:rsid w:val="00FC7FA4"/>
    <w:rsid w:val="00FD6674"/>
    <w:rsid w:val="00FE21BB"/>
    <w:rsid w:val="00FF0372"/>
    <w:rsid w:val="00FF1790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7FE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7FE8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ported-Normal">
    <w:name w:val="imported-Normal"/>
    <w:autoRedefine/>
    <w:rsid w:val="00167185"/>
    <w:pPr>
      <w:spacing w:before="0" w:beforeAutospacing="0" w:after="0" w:afterAutospacing="0" w:line="360" w:lineRule="auto"/>
      <w:contextualSpacing/>
      <w:jc w:val="left"/>
    </w:pPr>
    <w:rPr>
      <w:rFonts w:eastAsia="Arial Unicode MS" w:cs="Times New Roman"/>
      <w:color w:val="000000"/>
      <w:szCs w:val="20"/>
      <w:lang w:val="pt-PT"/>
    </w:rPr>
  </w:style>
  <w:style w:type="paragraph" w:customStyle="1" w:styleId="Corpo">
    <w:name w:val="Corpo"/>
    <w:rsid w:val="00027C4A"/>
    <w:pPr>
      <w:spacing w:before="0" w:beforeAutospacing="0" w:after="0" w:afterAutospacing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160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160E"/>
  </w:style>
  <w:style w:type="paragraph" w:styleId="Rodap">
    <w:name w:val="footer"/>
    <w:basedOn w:val="Normal"/>
    <w:link w:val="RodapChar"/>
    <w:uiPriority w:val="99"/>
    <w:unhideWhenUsed/>
    <w:rsid w:val="00B0160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160E"/>
  </w:style>
  <w:style w:type="character" w:styleId="nfase">
    <w:name w:val="Emphasis"/>
    <w:basedOn w:val="Fontepargpadro"/>
    <w:uiPriority w:val="20"/>
    <w:qFormat/>
    <w:rsid w:val="00167185"/>
    <w:rPr>
      <w:i/>
      <w:iCs/>
    </w:rPr>
  </w:style>
  <w:style w:type="character" w:styleId="Hyperlink">
    <w:name w:val="Hyperlink"/>
    <w:basedOn w:val="Fontepargpadro"/>
    <w:uiPriority w:val="99"/>
    <w:unhideWhenUsed/>
    <w:rsid w:val="001671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37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7FE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7FE8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ported-Normal">
    <w:name w:val="imported-Normal"/>
    <w:autoRedefine/>
    <w:rsid w:val="00167185"/>
    <w:pPr>
      <w:spacing w:before="0" w:beforeAutospacing="0" w:after="0" w:afterAutospacing="0" w:line="360" w:lineRule="auto"/>
      <w:contextualSpacing/>
      <w:jc w:val="left"/>
    </w:pPr>
    <w:rPr>
      <w:rFonts w:eastAsia="Arial Unicode MS" w:cs="Times New Roman"/>
      <w:color w:val="000000"/>
      <w:szCs w:val="20"/>
      <w:lang w:val="pt-PT"/>
    </w:rPr>
  </w:style>
  <w:style w:type="paragraph" w:customStyle="1" w:styleId="Corpo">
    <w:name w:val="Corpo"/>
    <w:rsid w:val="00027C4A"/>
    <w:pPr>
      <w:spacing w:before="0" w:beforeAutospacing="0" w:after="0" w:afterAutospacing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160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160E"/>
  </w:style>
  <w:style w:type="paragraph" w:styleId="Rodap">
    <w:name w:val="footer"/>
    <w:basedOn w:val="Normal"/>
    <w:link w:val="RodapChar"/>
    <w:uiPriority w:val="99"/>
    <w:unhideWhenUsed/>
    <w:rsid w:val="00B0160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160E"/>
  </w:style>
  <w:style w:type="character" w:styleId="nfase">
    <w:name w:val="Emphasis"/>
    <w:basedOn w:val="Fontepargpadro"/>
    <w:uiPriority w:val="20"/>
    <w:qFormat/>
    <w:rsid w:val="00167185"/>
    <w:rPr>
      <w:i/>
      <w:iCs/>
    </w:rPr>
  </w:style>
  <w:style w:type="character" w:styleId="Hyperlink">
    <w:name w:val="Hyperlink"/>
    <w:basedOn w:val="Fontepargpadro"/>
    <w:uiPriority w:val="99"/>
    <w:unhideWhenUsed/>
    <w:rsid w:val="001671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37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83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sciencia.com/artigos/nova-hipotese-de-inepcia-da-peticao-inicial-art-285-b-do-cpc-fredie-didier/189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3787</Words>
  <Characters>20451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2</cp:revision>
  <dcterms:created xsi:type="dcterms:W3CDTF">2013-07-05T00:34:00Z</dcterms:created>
  <dcterms:modified xsi:type="dcterms:W3CDTF">2013-07-05T00:34:00Z</dcterms:modified>
</cp:coreProperties>
</file>