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29" w:rsidRPr="000E124E" w:rsidRDefault="00E16DB3" w:rsidP="000E124E">
      <w:pPr>
        <w:pStyle w:val="Title"/>
        <w:rPr>
          <w:sz w:val="40"/>
          <w:szCs w:val="40"/>
          <w:lang w:val="en-US"/>
        </w:rPr>
      </w:pPr>
      <w:r w:rsidRPr="000E124E">
        <w:rPr>
          <w:sz w:val="40"/>
          <w:szCs w:val="40"/>
          <w:lang w:val="en-US"/>
        </w:rPr>
        <w:t>Nike’s Risk Management and Derivative Usage</w:t>
      </w:r>
    </w:p>
    <w:p w:rsidR="001C39D6" w:rsidRDefault="000E124E" w:rsidP="000E124E">
      <w:pPr>
        <w:pStyle w:val="Heading1"/>
        <w:rPr>
          <w:lang w:val="en-US"/>
        </w:rPr>
      </w:pPr>
      <w:r>
        <w:rPr>
          <w:lang w:val="en-US"/>
        </w:rPr>
        <w:t>Quantifying Nike’s Exposure</w:t>
      </w:r>
    </w:p>
    <w:p w:rsidR="000E124E" w:rsidRDefault="000E124E" w:rsidP="000E124E">
      <w:pPr>
        <w:rPr>
          <w:b/>
          <w:lang w:val="en-US"/>
        </w:rPr>
      </w:pPr>
    </w:p>
    <w:p w:rsidR="001C39D6" w:rsidRDefault="001C39D6" w:rsidP="001C39D6">
      <w:pPr>
        <w:rPr>
          <w:lang w:val="en-US"/>
        </w:rPr>
      </w:pPr>
      <w:r w:rsidRPr="000E124E">
        <w:rPr>
          <w:lang w:val="en-US"/>
        </w:rPr>
        <w:t>In quantifying Nike’</w:t>
      </w:r>
      <w:r w:rsidR="000E124E" w:rsidRPr="000E124E">
        <w:rPr>
          <w:lang w:val="en-US"/>
        </w:rPr>
        <w:t>s Cash-Flow Exposure, we made the following assumptions.</w:t>
      </w:r>
    </w:p>
    <w:p w:rsidR="000E124E" w:rsidRPr="000E124E" w:rsidRDefault="000E124E" w:rsidP="001C39D6">
      <w:pPr>
        <w:rPr>
          <w:lang w:val="en-US"/>
        </w:rPr>
      </w:pPr>
    </w:p>
    <w:p w:rsidR="001C39D6" w:rsidRDefault="001C39D6" w:rsidP="001C39D6">
      <w:pPr>
        <w:pStyle w:val="NormalWeb"/>
        <w:spacing w:before="106" w:beforeAutospacing="0" w:after="0" w:afterAutospacing="0" w:line="216" w:lineRule="auto"/>
        <w:rPr>
          <w:rFonts w:eastAsia="+mn-ea"/>
          <w:b/>
          <w:color w:val="000000"/>
          <w:kern w:val="24"/>
        </w:rPr>
      </w:pPr>
      <w:r>
        <w:rPr>
          <w:rFonts w:eastAsia="+mn-ea"/>
          <w:b/>
          <w:color w:val="000000"/>
          <w:kern w:val="24"/>
        </w:rPr>
        <w:t>Assumptions:</w:t>
      </w:r>
    </w:p>
    <w:p w:rsidR="001C39D6" w:rsidRPr="00B67D03" w:rsidRDefault="001C39D6" w:rsidP="001C39D6">
      <w:pPr>
        <w:pStyle w:val="NormalWeb"/>
        <w:numPr>
          <w:ilvl w:val="0"/>
          <w:numId w:val="4"/>
        </w:numPr>
        <w:spacing w:before="106" w:beforeAutospacing="0" w:after="0" w:afterAutospacing="0" w:line="216" w:lineRule="auto"/>
      </w:pPr>
      <w:r>
        <w:rPr>
          <w:rFonts w:eastAsia="+mn-ea"/>
          <w:color w:val="000000"/>
          <w:kern w:val="24"/>
        </w:rPr>
        <w:t>Other revenue includes Emerging Markets, Global Brand Division, Other Businesses, and Corporate revenue and is assumed to be denominated in USD</w:t>
      </w:r>
    </w:p>
    <w:p w:rsidR="001C39D6" w:rsidRPr="0040142A" w:rsidRDefault="001C39D6" w:rsidP="001C39D6">
      <w:pPr>
        <w:pStyle w:val="NormalWeb"/>
        <w:numPr>
          <w:ilvl w:val="0"/>
          <w:numId w:val="4"/>
        </w:numPr>
        <w:spacing w:before="106" w:beforeAutospacing="0" w:after="0" w:afterAutospacing="0" w:line="216" w:lineRule="auto"/>
      </w:pPr>
      <w:r>
        <w:rPr>
          <w:rFonts w:eastAsia="+mn-ea"/>
          <w:color w:val="000000"/>
          <w:kern w:val="24"/>
        </w:rPr>
        <w:t>Other cost of sales sold includes a small number of countries other than Vietnam, China, and Indonesia and is assumed to be denominated in USD</w:t>
      </w:r>
    </w:p>
    <w:p w:rsidR="001C39D6" w:rsidRDefault="001C39D6" w:rsidP="001C39D6">
      <w:pPr>
        <w:pStyle w:val="NormalWeb"/>
        <w:numPr>
          <w:ilvl w:val="0"/>
          <w:numId w:val="4"/>
        </w:numPr>
        <w:spacing w:before="106" w:beforeAutospacing="0" w:after="0" w:afterAutospacing="0" w:line="216" w:lineRule="auto"/>
      </w:pPr>
      <w:r>
        <w:t>All SG&amp;A is assumed to be incurred in the U.S. and denominated in USD</w:t>
      </w:r>
    </w:p>
    <w:p w:rsidR="001C39D6" w:rsidRPr="00B67D03" w:rsidRDefault="001C39D6" w:rsidP="001C39D6">
      <w:pPr>
        <w:pStyle w:val="NormalWeb"/>
        <w:numPr>
          <w:ilvl w:val="0"/>
          <w:numId w:val="4"/>
        </w:numPr>
        <w:spacing w:before="106" w:beforeAutospacing="0" w:after="0" w:afterAutospacing="0" w:line="216" w:lineRule="auto"/>
      </w:pPr>
      <w:r>
        <w:t>The mean of the percentage changes in any currency exchange rate is assumed to equal 0%</w:t>
      </w:r>
    </w:p>
    <w:p w:rsidR="001C39D6" w:rsidRPr="003D1E91" w:rsidRDefault="001C39D6" w:rsidP="003D1E91">
      <w:pPr>
        <w:jc w:val="center"/>
        <w:rPr>
          <w:b/>
          <w:lang w:val="en-US"/>
        </w:rPr>
      </w:pPr>
    </w:p>
    <w:p w:rsidR="003D1E91" w:rsidRPr="0096594D" w:rsidRDefault="003D1E91" w:rsidP="003D1E91">
      <w:pPr>
        <w:rPr>
          <w:lang w:val="en-US"/>
        </w:rPr>
      </w:pPr>
    </w:p>
    <w:p w:rsidR="003D1E91" w:rsidRDefault="001C39D6" w:rsidP="000E124E">
      <w:pPr>
        <w:pStyle w:val="Subtitle"/>
        <w:spacing w:line="276" w:lineRule="auto"/>
      </w:pPr>
      <w:r>
        <w:t>Nike’s Future Cash Flow Exposures</w:t>
      </w:r>
    </w:p>
    <w:p w:rsidR="001C39D6" w:rsidRPr="00890D24" w:rsidRDefault="001C39D6" w:rsidP="000E124E">
      <w:pPr>
        <w:spacing w:line="276" w:lineRule="auto"/>
      </w:pPr>
    </w:p>
    <w:p w:rsidR="00890D24" w:rsidRPr="001C39D6" w:rsidRDefault="00A015FD" w:rsidP="000E124E">
      <w:pPr>
        <w:spacing w:line="276" w:lineRule="auto"/>
      </w:pPr>
      <w:r w:rsidRPr="001C39D6">
        <w:rPr>
          <w:rFonts w:eastAsia="+mn-ea"/>
          <w:color w:val="000000"/>
          <w:kern w:val="24"/>
        </w:rPr>
        <w:t>We</w:t>
      </w:r>
      <w:r w:rsidR="00890D24" w:rsidRPr="001C39D6">
        <w:rPr>
          <w:rFonts w:eastAsia="+mn-ea"/>
          <w:color w:val="000000"/>
          <w:kern w:val="24"/>
        </w:rPr>
        <w:t xml:space="preserve"> estimate</w:t>
      </w:r>
      <w:r w:rsidRPr="001C39D6">
        <w:rPr>
          <w:rFonts w:eastAsia="+mn-ea"/>
          <w:color w:val="000000"/>
          <w:kern w:val="24"/>
        </w:rPr>
        <w:t xml:space="preserve">d that </w:t>
      </w:r>
      <w:r w:rsidR="00890D24" w:rsidRPr="001C39D6">
        <w:rPr>
          <w:rFonts w:eastAsia="+mn-ea"/>
          <w:color w:val="000000"/>
          <w:kern w:val="24"/>
        </w:rPr>
        <w:t>Nike</w:t>
      </w:r>
      <w:r w:rsidRPr="001C39D6">
        <w:rPr>
          <w:rFonts w:eastAsia="+mn-ea"/>
          <w:color w:val="000000"/>
          <w:kern w:val="24"/>
        </w:rPr>
        <w:t xml:space="preserve"> will have an expected cash flow exposure</w:t>
      </w:r>
      <w:r w:rsidR="000C1AB3" w:rsidRPr="001C39D6">
        <w:rPr>
          <w:rFonts w:eastAsia="+mn-ea"/>
          <w:color w:val="000000"/>
          <w:kern w:val="24"/>
        </w:rPr>
        <w:t xml:space="preserve"> (</w:t>
      </w:r>
      <w:r w:rsidR="00895082" w:rsidRPr="001C39D6">
        <w:rPr>
          <w:rFonts w:eastAsia="+mn-ea"/>
          <w:color w:val="000000"/>
          <w:kern w:val="24"/>
        </w:rPr>
        <w:t xml:space="preserve">expected </w:t>
      </w:r>
      <w:r w:rsidR="000C1AB3" w:rsidRPr="001C39D6">
        <w:rPr>
          <w:rFonts w:eastAsia="+mn-ea"/>
          <w:color w:val="000000"/>
          <w:kern w:val="24"/>
        </w:rPr>
        <w:t>EBITDA)</w:t>
      </w:r>
      <w:r w:rsidRPr="001C39D6">
        <w:rPr>
          <w:rFonts w:eastAsia="+mn-ea"/>
          <w:color w:val="000000"/>
          <w:kern w:val="24"/>
        </w:rPr>
        <w:t xml:space="preserve"> of $10,471</w:t>
      </w:r>
      <w:r w:rsidR="00D63BF9" w:rsidRPr="001C39D6">
        <w:rPr>
          <w:rFonts w:eastAsia="+mn-ea"/>
          <w:color w:val="000000"/>
          <w:kern w:val="24"/>
        </w:rPr>
        <w:t xml:space="preserve"> million for the next</w:t>
      </w:r>
      <w:r w:rsidRPr="001C39D6">
        <w:rPr>
          <w:rFonts w:eastAsia="+mn-ea"/>
          <w:color w:val="000000"/>
          <w:kern w:val="24"/>
        </w:rPr>
        <w:t xml:space="preserve"> year with respect to the various currencies</w:t>
      </w:r>
      <w:r w:rsidR="008D6C26" w:rsidRPr="001C39D6">
        <w:rPr>
          <w:rFonts w:eastAsia="+mn-ea"/>
          <w:color w:val="000000"/>
          <w:kern w:val="24"/>
        </w:rPr>
        <w:t xml:space="preserve"> to which it is</w:t>
      </w:r>
      <w:r w:rsidR="00612987" w:rsidRPr="001C39D6">
        <w:rPr>
          <w:rFonts w:eastAsia="+mn-ea"/>
          <w:color w:val="000000"/>
          <w:kern w:val="24"/>
        </w:rPr>
        <w:t xml:space="preserve"> exposed</w:t>
      </w:r>
      <w:r w:rsidR="0039287B" w:rsidRPr="001C39D6">
        <w:rPr>
          <w:rFonts w:eastAsia="+mn-ea"/>
          <w:color w:val="000000"/>
          <w:kern w:val="24"/>
        </w:rPr>
        <w:t xml:space="preserve">. </w:t>
      </w:r>
      <w:r w:rsidR="00E10834" w:rsidRPr="001C39D6">
        <w:rPr>
          <w:rFonts w:eastAsia="+mn-ea"/>
          <w:color w:val="000000"/>
          <w:kern w:val="24"/>
        </w:rPr>
        <w:t xml:space="preserve">Nike will have to take </w:t>
      </w:r>
      <w:r w:rsidR="008D6C26" w:rsidRPr="001C39D6">
        <w:rPr>
          <w:rFonts w:eastAsia="+mn-ea"/>
          <w:color w:val="000000"/>
          <w:kern w:val="24"/>
        </w:rPr>
        <w:t>short positions in the</w:t>
      </w:r>
      <w:r w:rsidR="00B43DBC" w:rsidRPr="001C39D6">
        <w:rPr>
          <w:rFonts w:eastAsia="+mn-ea"/>
          <w:color w:val="000000"/>
          <w:kern w:val="24"/>
        </w:rPr>
        <w:t xml:space="preserve"> currencies in which </w:t>
      </w:r>
      <w:r w:rsidR="005B547A" w:rsidRPr="001C39D6">
        <w:rPr>
          <w:rFonts w:eastAsia="+mn-ea"/>
          <w:color w:val="000000"/>
          <w:kern w:val="24"/>
        </w:rPr>
        <w:t>it</w:t>
      </w:r>
      <w:r w:rsidR="00B43DBC" w:rsidRPr="001C39D6">
        <w:rPr>
          <w:rFonts w:eastAsia="+mn-ea"/>
          <w:color w:val="000000"/>
          <w:kern w:val="24"/>
        </w:rPr>
        <w:t xml:space="preserve"> receive</w:t>
      </w:r>
      <w:r w:rsidR="005B547A" w:rsidRPr="001C39D6">
        <w:rPr>
          <w:rFonts w:eastAsia="+mn-ea"/>
          <w:color w:val="000000"/>
          <w:kern w:val="24"/>
        </w:rPr>
        <w:t>s its</w:t>
      </w:r>
      <w:r w:rsidR="003061BB" w:rsidRPr="001C39D6">
        <w:rPr>
          <w:rFonts w:eastAsia="+mn-ea"/>
          <w:color w:val="000000"/>
          <w:kern w:val="24"/>
        </w:rPr>
        <w:t xml:space="preserve"> </w:t>
      </w:r>
      <w:r w:rsidR="00B43DBC" w:rsidRPr="001C39D6">
        <w:rPr>
          <w:rFonts w:eastAsia="+mn-ea"/>
          <w:color w:val="000000"/>
          <w:kern w:val="24"/>
        </w:rPr>
        <w:t>revenue</w:t>
      </w:r>
      <w:r w:rsidR="003061BB" w:rsidRPr="001C39D6">
        <w:rPr>
          <w:rFonts w:eastAsia="+mn-ea"/>
          <w:color w:val="000000"/>
          <w:kern w:val="24"/>
        </w:rPr>
        <w:t>—namely, the EUR and the JPY—</w:t>
      </w:r>
      <w:r w:rsidR="008D6C26" w:rsidRPr="001C39D6">
        <w:rPr>
          <w:rFonts w:eastAsia="+mn-ea"/>
          <w:color w:val="000000"/>
          <w:kern w:val="24"/>
        </w:rPr>
        <w:t>and long positions</w:t>
      </w:r>
      <w:r w:rsidR="003061BB" w:rsidRPr="001C39D6">
        <w:rPr>
          <w:rFonts w:eastAsia="+mn-ea"/>
          <w:color w:val="000000"/>
          <w:kern w:val="24"/>
        </w:rPr>
        <w:t xml:space="preserve"> in the</w:t>
      </w:r>
      <w:r w:rsidR="00B43DBC" w:rsidRPr="001C39D6">
        <w:rPr>
          <w:rFonts w:eastAsia="+mn-ea"/>
          <w:color w:val="000000"/>
          <w:kern w:val="24"/>
        </w:rPr>
        <w:t xml:space="preserve"> currencies in which it incur</w:t>
      </w:r>
      <w:r w:rsidR="005B547A" w:rsidRPr="001C39D6">
        <w:rPr>
          <w:rFonts w:eastAsia="+mn-ea"/>
          <w:color w:val="000000"/>
          <w:kern w:val="24"/>
        </w:rPr>
        <w:t>s its</w:t>
      </w:r>
      <w:r w:rsidR="00B43DBC" w:rsidRPr="001C39D6">
        <w:rPr>
          <w:rFonts w:eastAsia="+mn-ea"/>
          <w:color w:val="000000"/>
          <w:kern w:val="24"/>
        </w:rPr>
        <w:t xml:space="preserve"> cost—namely, the</w:t>
      </w:r>
      <w:r w:rsidR="003061BB" w:rsidRPr="001C39D6">
        <w:rPr>
          <w:rFonts w:eastAsia="+mn-ea"/>
          <w:color w:val="000000"/>
          <w:kern w:val="24"/>
        </w:rPr>
        <w:t xml:space="preserve"> VND,</w:t>
      </w:r>
      <w:r w:rsidR="00B43DBC" w:rsidRPr="001C39D6">
        <w:rPr>
          <w:rFonts w:eastAsia="+mn-ea"/>
          <w:color w:val="000000"/>
          <w:kern w:val="24"/>
        </w:rPr>
        <w:t xml:space="preserve"> the</w:t>
      </w:r>
      <w:r w:rsidR="003061BB" w:rsidRPr="001C39D6">
        <w:rPr>
          <w:rFonts w:eastAsia="+mn-ea"/>
          <w:color w:val="000000"/>
          <w:kern w:val="24"/>
        </w:rPr>
        <w:t xml:space="preserve"> RMB, and</w:t>
      </w:r>
      <w:r w:rsidR="00B43DBC" w:rsidRPr="001C39D6">
        <w:rPr>
          <w:rFonts w:eastAsia="+mn-ea"/>
          <w:color w:val="000000"/>
          <w:kern w:val="24"/>
        </w:rPr>
        <w:t xml:space="preserve"> the</w:t>
      </w:r>
      <w:r w:rsidR="003061BB" w:rsidRPr="001C39D6">
        <w:rPr>
          <w:rFonts w:eastAsia="+mn-ea"/>
          <w:color w:val="000000"/>
          <w:kern w:val="24"/>
        </w:rPr>
        <w:t xml:space="preserve"> IDR</w:t>
      </w:r>
      <w:r w:rsidR="00B43DBC" w:rsidRPr="001C39D6">
        <w:rPr>
          <w:rFonts w:eastAsia="+mn-ea"/>
          <w:color w:val="000000"/>
          <w:kern w:val="24"/>
        </w:rPr>
        <w:t>.</w:t>
      </w:r>
      <w:r w:rsidRPr="001C39D6">
        <w:rPr>
          <w:rFonts w:eastAsia="+mn-ea"/>
          <w:color w:val="000000"/>
          <w:kern w:val="24"/>
        </w:rPr>
        <w:t xml:space="preserve"> </w:t>
      </w:r>
    </w:p>
    <w:p w:rsidR="003D1E91" w:rsidRPr="0096594D" w:rsidRDefault="003D1E91" w:rsidP="000E124E">
      <w:pPr>
        <w:pStyle w:val="ListParagraph"/>
        <w:spacing w:line="276" w:lineRule="auto"/>
        <w:ind w:left="360"/>
      </w:pPr>
    </w:p>
    <w:p w:rsidR="00E21C46" w:rsidRDefault="001C39D6" w:rsidP="000E124E">
      <w:pPr>
        <w:pStyle w:val="Subtitle"/>
        <w:spacing w:line="276" w:lineRule="auto"/>
        <w:rPr>
          <w:kern w:val="24"/>
        </w:rPr>
      </w:pPr>
      <w:r>
        <w:rPr>
          <w:kern w:val="24"/>
        </w:rPr>
        <w:t>Nike’s Cash-Flow-At Risk</w:t>
      </w:r>
    </w:p>
    <w:p w:rsidR="000E124E" w:rsidRDefault="00783318" w:rsidP="000E124E">
      <w:pPr>
        <w:spacing w:before="106" w:line="276" w:lineRule="auto"/>
        <w:rPr>
          <w:rFonts w:eastAsia="+mn-ea"/>
          <w:color w:val="000000"/>
          <w:kern w:val="24"/>
        </w:rPr>
      </w:pPr>
      <w:r w:rsidRPr="001C39D6">
        <w:rPr>
          <w:rFonts w:eastAsia="+mn-ea"/>
          <w:color w:val="000000"/>
          <w:kern w:val="24"/>
        </w:rPr>
        <w:t>After performing a simulation on the distribution of Nike’s</w:t>
      </w:r>
      <w:r w:rsidR="00895082" w:rsidRPr="001C39D6">
        <w:rPr>
          <w:rFonts w:eastAsia="+mn-ea"/>
          <w:color w:val="000000"/>
          <w:kern w:val="24"/>
        </w:rPr>
        <w:t xml:space="preserve"> realized</w:t>
      </w:r>
      <w:r w:rsidRPr="001C39D6">
        <w:rPr>
          <w:rFonts w:eastAsia="+mn-ea"/>
          <w:color w:val="000000"/>
          <w:kern w:val="24"/>
        </w:rPr>
        <w:t xml:space="preserve"> EBITDA for the nex</w:t>
      </w:r>
      <w:r w:rsidR="001C39D6" w:rsidRPr="001C39D6">
        <w:rPr>
          <w:rFonts w:eastAsia="+mn-ea"/>
          <w:color w:val="000000"/>
          <w:kern w:val="24"/>
        </w:rPr>
        <w:t xml:space="preserve">t year, we estimated that </w:t>
      </w:r>
      <w:r w:rsidRPr="001C39D6">
        <w:rPr>
          <w:rFonts w:eastAsia="+mn-ea"/>
          <w:color w:val="000000"/>
          <w:kern w:val="24"/>
        </w:rPr>
        <w:t xml:space="preserve">Nike’s </w:t>
      </w:r>
      <w:r w:rsidR="001C39D6" w:rsidRPr="001C39D6">
        <w:rPr>
          <w:rFonts w:eastAsia="+mn-ea"/>
          <w:color w:val="000000"/>
          <w:kern w:val="24"/>
        </w:rPr>
        <w:t>cash-flow-at-risk (Expected EBITDA with 95% confidence)</w:t>
      </w:r>
      <w:r w:rsidRPr="001C39D6">
        <w:rPr>
          <w:rFonts w:eastAsia="+mn-ea"/>
          <w:color w:val="000000"/>
          <w:kern w:val="24"/>
        </w:rPr>
        <w:t xml:space="preserve"> over the next year </w:t>
      </w:r>
      <w:r w:rsidR="001C39D6" w:rsidRPr="001C39D6">
        <w:rPr>
          <w:rFonts w:eastAsia="+mn-ea"/>
          <w:color w:val="000000"/>
          <w:kern w:val="24"/>
        </w:rPr>
        <w:t>is</w:t>
      </w:r>
      <w:r w:rsidRPr="001C39D6">
        <w:rPr>
          <w:rFonts w:eastAsia="+mn-ea"/>
          <w:color w:val="000000"/>
          <w:kern w:val="24"/>
        </w:rPr>
        <w:t xml:space="preserve"> $9,</w:t>
      </w:r>
      <w:r w:rsidR="000E124E">
        <w:rPr>
          <w:rFonts w:eastAsia="+mn-ea"/>
          <w:color w:val="000000"/>
          <w:kern w:val="24"/>
        </w:rPr>
        <w:t>160.50</w:t>
      </w:r>
      <w:r w:rsidRPr="001C39D6">
        <w:rPr>
          <w:rFonts w:eastAsia="+mn-ea"/>
          <w:color w:val="000000"/>
          <w:kern w:val="24"/>
        </w:rPr>
        <w:t>.</w:t>
      </w:r>
      <w:r w:rsidR="001C39D6" w:rsidRPr="001C39D6">
        <w:rPr>
          <w:rFonts w:eastAsia="+mn-ea"/>
          <w:color w:val="000000"/>
          <w:kern w:val="24"/>
        </w:rPr>
        <w:t xml:space="preserve"> </w:t>
      </w:r>
    </w:p>
    <w:p w:rsidR="000E124E" w:rsidRDefault="000E124E" w:rsidP="000E124E">
      <w:pPr>
        <w:spacing w:before="106" w:line="276" w:lineRule="auto"/>
        <w:rPr>
          <w:rFonts w:eastAsia="+mn-ea"/>
          <w:color w:val="000000"/>
          <w:kern w:val="24"/>
        </w:rPr>
      </w:pPr>
    </w:p>
    <w:p w:rsidR="000E124E" w:rsidRDefault="000E124E" w:rsidP="000E124E">
      <w:pPr>
        <w:spacing w:before="106" w:line="276" w:lineRule="auto"/>
        <w:jc w:val="center"/>
        <w:rPr>
          <w:rFonts w:eastAsia="+mn-ea"/>
          <w:color w:val="000000"/>
          <w:kern w:val="24"/>
        </w:rPr>
      </w:pPr>
      <w:r w:rsidRPr="000E124E">
        <w:rPr>
          <w:rFonts w:eastAsia="+mn-ea"/>
          <w:color w:val="000000"/>
          <w:kern w:val="24"/>
        </w:rPr>
        <w:drawing>
          <wp:inline distT="0" distB="0" distL="0" distR="0">
            <wp:extent cx="3152775" cy="197786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282" cy="1978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18" w:rsidRPr="001C39D6" w:rsidRDefault="00783318" w:rsidP="000E124E">
      <w:pPr>
        <w:spacing w:before="106" w:line="276" w:lineRule="auto"/>
        <w:jc w:val="center"/>
      </w:pPr>
    </w:p>
    <w:p w:rsidR="003D1E91" w:rsidRDefault="003D1E91" w:rsidP="000E124E">
      <w:pPr>
        <w:pStyle w:val="NormalWeb"/>
        <w:spacing w:before="106" w:beforeAutospacing="0" w:after="0" w:afterAutospacing="0" w:line="276" w:lineRule="auto"/>
        <w:ind w:left="605" w:hanging="605"/>
        <w:rPr>
          <w:rFonts w:eastAsia="+mn-ea"/>
          <w:color w:val="000000"/>
          <w:kern w:val="24"/>
        </w:rPr>
      </w:pPr>
    </w:p>
    <w:p w:rsidR="001C39D6" w:rsidRDefault="001C39D6" w:rsidP="000E124E">
      <w:pPr>
        <w:pStyle w:val="Subtitle"/>
        <w:spacing w:line="276" w:lineRule="auto"/>
        <w:rPr>
          <w:kern w:val="24"/>
        </w:rPr>
      </w:pPr>
      <w:r>
        <w:rPr>
          <w:kern w:val="24"/>
        </w:rPr>
        <w:t>Nike’s Cash Flow Exposure With Hedging Policy</w:t>
      </w:r>
    </w:p>
    <w:p w:rsidR="001C39D6" w:rsidRPr="001C39D6" w:rsidRDefault="00876D0B" w:rsidP="000E124E">
      <w:pPr>
        <w:spacing w:before="106" w:line="276" w:lineRule="auto"/>
        <w:rPr>
          <w:rFonts w:eastAsia="+mn-ea"/>
          <w:color w:val="000000"/>
          <w:kern w:val="24"/>
        </w:rPr>
      </w:pPr>
      <w:r w:rsidRPr="001C39D6">
        <w:rPr>
          <w:rFonts w:eastAsia="+mn-ea"/>
          <w:color w:val="000000"/>
          <w:kern w:val="24"/>
        </w:rPr>
        <w:t xml:space="preserve">In their 10K, Nike </w:t>
      </w:r>
      <w:r w:rsidR="00CE2727" w:rsidRPr="001C39D6">
        <w:rPr>
          <w:rFonts w:eastAsia="+mn-ea"/>
          <w:color w:val="000000"/>
          <w:kern w:val="24"/>
        </w:rPr>
        <w:t>discloses that “the company hedges up to 100% of anticipated exposures typically 12 months in advance,”</w:t>
      </w:r>
      <w:r w:rsidR="00C52D24" w:rsidRPr="001C39D6">
        <w:rPr>
          <w:rFonts w:eastAsia="+mn-ea"/>
          <w:color w:val="000000"/>
          <w:kern w:val="24"/>
        </w:rPr>
        <w:t xml:space="preserve"> and</w:t>
      </w:r>
      <w:r w:rsidR="001163FB" w:rsidRPr="001C39D6">
        <w:rPr>
          <w:rFonts w:eastAsia="+mn-ea"/>
          <w:color w:val="000000"/>
          <w:kern w:val="24"/>
        </w:rPr>
        <w:t xml:space="preserve"> as a</w:t>
      </w:r>
      <w:r w:rsidR="00C52D24" w:rsidRPr="001C39D6">
        <w:rPr>
          <w:rFonts w:eastAsia="+mn-ea"/>
          <w:color w:val="000000"/>
          <w:kern w:val="24"/>
        </w:rPr>
        <w:t xml:space="preserve"> result we found it reasonable to assume that Nike </w:t>
      </w:r>
      <w:r w:rsidR="00D72243" w:rsidRPr="001C39D6">
        <w:rPr>
          <w:rFonts w:eastAsia="+mn-ea"/>
          <w:color w:val="000000"/>
          <w:kern w:val="24"/>
        </w:rPr>
        <w:t>w</w:t>
      </w:r>
      <w:r w:rsidR="001163FB" w:rsidRPr="001C39D6">
        <w:rPr>
          <w:rFonts w:eastAsia="+mn-ea"/>
          <w:color w:val="000000"/>
          <w:kern w:val="24"/>
        </w:rPr>
        <w:t>ill in fact hedge 100% of its anticiaptaed cash flow expos</w:t>
      </w:r>
      <w:r w:rsidR="00194395" w:rsidRPr="001C39D6">
        <w:rPr>
          <w:rFonts w:eastAsia="+mn-ea"/>
          <w:color w:val="000000"/>
          <w:kern w:val="24"/>
        </w:rPr>
        <w:t>ure and will hedge them precisely for a period of 12 months.</w:t>
      </w:r>
      <w:r w:rsidR="00BF1946" w:rsidRPr="001C39D6">
        <w:rPr>
          <w:rFonts w:eastAsia="+mn-ea"/>
          <w:color w:val="000000"/>
          <w:kern w:val="24"/>
        </w:rPr>
        <w:t xml:space="preserve"> </w:t>
      </w:r>
    </w:p>
    <w:p w:rsidR="00EF20C7" w:rsidRDefault="00DC7FB8" w:rsidP="000E124E">
      <w:pPr>
        <w:spacing w:before="106" w:line="276" w:lineRule="auto"/>
        <w:rPr>
          <w:rFonts w:eastAsia="+mn-ea"/>
          <w:color w:val="000000"/>
          <w:kern w:val="24"/>
        </w:rPr>
      </w:pPr>
      <w:r w:rsidRPr="001C39D6">
        <w:rPr>
          <w:rFonts w:eastAsia="+mn-ea"/>
          <w:color w:val="000000"/>
          <w:kern w:val="24"/>
        </w:rPr>
        <w:t>After taking into account the above assumptions regarding Nike’s hedging policy</w:t>
      </w:r>
      <w:r w:rsidR="000C1784" w:rsidRPr="001C39D6">
        <w:rPr>
          <w:rFonts w:eastAsia="+mn-ea"/>
          <w:color w:val="000000"/>
          <w:kern w:val="24"/>
        </w:rPr>
        <w:t xml:space="preserve"> and the values of Nike’s</w:t>
      </w:r>
      <w:r w:rsidRPr="001C39D6">
        <w:rPr>
          <w:rFonts w:eastAsia="+mn-ea"/>
          <w:color w:val="000000"/>
          <w:kern w:val="24"/>
        </w:rPr>
        <w:t xml:space="preserve"> forward positions</w:t>
      </w:r>
      <w:r w:rsidR="000C1784" w:rsidRPr="001C39D6">
        <w:rPr>
          <w:rFonts w:eastAsia="+mn-ea"/>
          <w:color w:val="000000"/>
          <w:kern w:val="24"/>
        </w:rPr>
        <w:t xml:space="preserve"> in implementing the hedging, we found that</w:t>
      </w:r>
      <w:r w:rsidR="005F79F7" w:rsidRPr="001C39D6">
        <w:rPr>
          <w:rFonts w:eastAsia="+mn-ea"/>
          <w:color w:val="000000"/>
          <w:kern w:val="24"/>
        </w:rPr>
        <w:t xml:space="preserve"> Nike’s hedged EBITDA </w:t>
      </w:r>
      <w:r w:rsidR="001C39D6" w:rsidRPr="001C39D6">
        <w:rPr>
          <w:rFonts w:eastAsia="+mn-ea"/>
          <w:color w:val="000000"/>
          <w:kern w:val="24"/>
        </w:rPr>
        <w:t>is expected to be</w:t>
      </w:r>
      <w:r w:rsidR="005F79F7" w:rsidRPr="001C39D6">
        <w:rPr>
          <w:rFonts w:eastAsia="+mn-ea"/>
          <w:color w:val="000000"/>
          <w:kern w:val="24"/>
        </w:rPr>
        <w:t xml:space="preserve"> $10,453.20. After performing a simulation on the distribution of Nike’s</w:t>
      </w:r>
      <w:r w:rsidR="00F75D7B" w:rsidRPr="001C39D6">
        <w:rPr>
          <w:rFonts w:eastAsia="+mn-ea"/>
          <w:color w:val="000000"/>
          <w:kern w:val="24"/>
        </w:rPr>
        <w:t xml:space="preserve"> hedg</w:t>
      </w:r>
      <w:r w:rsidR="005F79F7" w:rsidRPr="001C39D6">
        <w:rPr>
          <w:rFonts w:eastAsia="+mn-ea"/>
          <w:color w:val="000000"/>
          <w:kern w:val="24"/>
        </w:rPr>
        <w:t>ed EBITDA for the next year, we estimated that, with a 95%</w:t>
      </w:r>
      <w:r w:rsidR="00F75D7B" w:rsidRPr="001C39D6">
        <w:rPr>
          <w:rFonts w:eastAsia="+mn-ea"/>
          <w:color w:val="000000"/>
          <w:kern w:val="24"/>
        </w:rPr>
        <w:t xml:space="preserve"> confidence level, Nike’s hedg</w:t>
      </w:r>
      <w:r w:rsidR="005F79F7" w:rsidRPr="001C39D6">
        <w:rPr>
          <w:rFonts w:eastAsia="+mn-ea"/>
          <w:color w:val="000000"/>
          <w:kern w:val="24"/>
        </w:rPr>
        <w:t xml:space="preserve">ed EBITDA over the next year would equal </w:t>
      </w:r>
      <w:r w:rsidR="001C39D6" w:rsidRPr="001C39D6">
        <w:rPr>
          <w:rFonts w:eastAsia="+mn-ea"/>
          <w:color w:val="000000"/>
          <w:kern w:val="24"/>
        </w:rPr>
        <w:t xml:space="preserve">at least </w:t>
      </w:r>
      <w:r w:rsidR="005F79F7" w:rsidRPr="001C39D6">
        <w:rPr>
          <w:rFonts w:eastAsia="+mn-ea"/>
          <w:color w:val="000000"/>
          <w:kern w:val="24"/>
        </w:rPr>
        <w:t>$</w:t>
      </w:r>
      <w:r w:rsidR="00EF20C7" w:rsidRPr="001C39D6">
        <w:rPr>
          <w:rFonts w:eastAsia="+mn-ea"/>
          <w:color w:val="000000"/>
          <w:kern w:val="24"/>
        </w:rPr>
        <w:t>10,441.</w:t>
      </w:r>
      <w:r w:rsidR="00C06F72">
        <w:rPr>
          <w:rFonts w:eastAsia="+mn-ea"/>
          <w:color w:val="000000"/>
          <w:kern w:val="24"/>
        </w:rPr>
        <w:t>2</w:t>
      </w:r>
      <w:r w:rsidR="00EF20C7" w:rsidRPr="001C39D6">
        <w:rPr>
          <w:rFonts w:eastAsia="+mn-ea"/>
          <w:color w:val="000000"/>
          <w:kern w:val="24"/>
        </w:rPr>
        <w:t xml:space="preserve">0. </w:t>
      </w:r>
    </w:p>
    <w:p w:rsidR="000E124E" w:rsidRDefault="000E124E" w:rsidP="000E124E">
      <w:pPr>
        <w:spacing w:before="106" w:line="276" w:lineRule="auto"/>
        <w:jc w:val="center"/>
        <w:rPr>
          <w:rFonts w:eastAsia="+mn-ea"/>
          <w:color w:val="000000"/>
          <w:kern w:val="24"/>
        </w:rPr>
      </w:pPr>
      <w:r w:rsidRPr="000E124E">
        <w:rPr>
          <w:rFonts w:eastAsia="+mn-ea"/>
          <w:color w:val="000000"/>
          <w:kern w:val="24"/>
        </w:rPr>
        <w:drawing>
          <wp:inline distT="0" distB="0" distL="0" distR="0">
            <wp:extent cx="3133725" cy="1924614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924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24E" w:rsidRPr="001C39D6" w:rsidRDefault="000E124E" w:rsidP="000E124E">
      <w:pPr>
        <w:spacing w:before="106" w:line="276" w:lineRule="auto"/>
        <w:rPr>
          <w:rFonts w:eastAsia="+mn-ea"/>
          <w:color w:val="000000"/>
          <w:kern w:val="24"/>
        </w:rPr>
      </w:pPr>
    </w:p>
    <w:p w:rsidR="00EF20C7" w:rsidRDefault="000E124E" w:rsidP="000E124E">
      <w:pPr>
        <w:pStyle w:val="Subtitle"/>
        <w:spacing w:line="276" w:lineRule="auto"/>
        <w:rPr>
          <w:kern w:val="24"/>
        </w:rPr>
      </w:pPr>
      <w:r>
        <w:rPr>
          <w:kern w:val="24"/>
        </w:rPr>
        <w:t>Why Does Nike Hedge?</w:t>
      </w:r>
    </w:p>
    <w:p w:rsidR="000E124E" w:rsidRDefault="000E124E" w:rsidP="000E124E">
      <w:pPr>
        <w:pStyle w:val="NormalWeb"/>
        <w:spacing w:before="106" w:beforeAutospacing="0" w:after="0" w:afterAutospacing="0" w:line="276" w:lineRule="auto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Nike hedges</w:t>
      </w:r>
      <w:r w:rsidR="0095437F" w:rsidRPr="000E124E">
        <w:rPr>
          <w:rFonts w:eastAsia="+mn-ea"/>
          <w:color w:val="000000"/>
          <w:kern w:val="24"/>
        </w:rPr>
        <w:t xml:space="preserve"> i</w:t>
      </w:r>
      <w:r w:rsidR="004D25E4" w:rsidRPr="000E124E">
        <w:rPr>
          <w:rFonts w:eastAsia="+mn-ea"/>
          <w:color w:val="000000"/>
          <w:kern w:val="24"/>
        </w:rPr>
        <w:t xml:space="preserve">n order to </w:t>
      </w:r>
      <w:r w:rsidR="00491A0A" w:rsidRPr="000E124E">
        <w:rPr>
          <w:rFonts w:eastAsia="+mn-ea"/>
          <w:color w:val="000000"/>
          <w:kern w:val="24"/>
        </w:rPr>
        <w:t>offset</w:t>
      </w:r>
      <w:r w:rsidR="004D25E4" w:rsidRPr="000E124E">
        <w:rPr>
          <w:rFonts w:eastAsia="+mn-ea"/>
          <w:color w:val="000000"/>
          <w:kern w:val="24"/>
        </w:rPr>
        <w:t xml:space="preserve"> the risk associated with</w:t>
      </w:r>
      <w:r w:rsidR="0095437F" w:rsidRPr="000E124E">
        <w:rPr>
          <w:rFonts w:eastAsia="+mn-ea"/>
          <w:color w:val="000000"/>
          <w:kern w:val="24"/>
        </w:rPr>
        <w:t xml:space="preserve"> </w:t>
      </w:r>
      <w:r w:rsidR="004D25E4" w:rsidRPr="000E124E">
        <w:rPr>
          <w:rFonts w:eastAsia="+mn-ea"/>
          <w:color w:val="000000"/>
          <w:kern w:val="24"/>
        </w:rPr>
        <w:t>i</w:t>
      </w:r>
      <w:r w:rsidR="0095437F" w:rsidRPr="000E124E">
        <w:rPr>
          <w:rFonts w:eastAsia="+mn-ea"/>
          <w:color w:val="000000"/>
          <w:kern w:val="24"/>
        </w:rPr>
        <w:t>ts exposure to foreign currency fluctuations</w:t>
      </w:r>
      <w:r w:rsidR="00FF6004" w:rsidRPr="000E124E">
        <w:rPr>
          <w:rFonts w:eastAsia="+mn-ea"/>
          <w:color w:val="000000"/>
          <w:kern w:val="24"/>
        </w:rPr>
        <w:t>.</w:t>
      </w:r>
      <w:r w:rsidR="004D25E4" w:rsidRPr="000E124E">
        <w:rPr>
          <w:rFonts w:eastAsia="+mn-ea"/>
          <w:color w:val="000000"/>
          <w:kern w:val="24"/>
        </w:rPr>
        <w:t xml:space="preserve"> </w:t>
      </w:r>
      <w:r w:rsidR="00FF6004" w:rsidRPr="000E124E">
        <w:rPr>
          <w:rFonts w:eastAsia="+mn-ea"/>
          <w:color w:val="000000"/>
          <w:kern w:val="24"/>
        </w:rPr>
        <w:t>Since</w:t>
      </w:r>
      <w:r w:rsidR="004D25E4" w:rsidRPr="000E124E">
        <w:rPr>
          <w:rFonts w:eastAsia="+mn-ea"/>
          <w:color w:val="000000"/>
          <w:kern w:val="24"/>
        </w:rPr>
        <w:t xml:space="preserve"> the company </w:t>
      </w:r>
      <w:r w:rsidR="001B3837" w:rsidRPr="000E124E">
        <w:rPr>
          <w:rFonts w:eastAsia="+mn-ea"/>
          <w:color w:val="000000"/>
          <w:kern w:val="24"/>
        </w:rPr>
        <w:t>has entered into numerous contracts and commitments requiring</w:t>
      </w:r>
      <w:r w:rsidR="00491A0A" w:rsidRPr="000E124E">
        <w:rPr>
          <w:rFonts w:eastAsia="+mn-ea"/>
          <w:color w:val="000000"/>
          <w:kern w:val="24"/>
        </w:rPr>
        <w:t xml:space="preserve"> it</w:t>
      </w:r>
      <w:r w:rsidR="001B3837" w:rsidRPr="000E124E">
        <w:rPr>
          <w:rFonts w:eastAsia="+mn-ea"/>
          <w:color w:val="000000"/>
          <w:kern w:val="24"/>
        </w:rPr>
        <w:t xml:space="preserve"> to</w:t>
      </w:r>
      <w:r w:rsidR="00491A0A" w:rsidRPr="000E124E">
        <w:rPr>
          <w:rFonts w:eastAsia="+mn-ea"/>
          <w:color w:val="000000"/>
          <w:kern w:val="24"/>
        </w:rPr>
        <w:t xml:space="preserve"> make and receive payments</w:t>
      </w:r>
      <w:r w:rsidR="00FF6004" w:rsidRPr="000E124E">
        <w:rPr>
          <w:rFonts w:eastAsia="+mn-ea"/>
          <w:color w:val="000000"/>
          <w:kern w:val="24"/>
        </w:rPr>
        <w:t xml:space="preserve"> in various foreign currencies, hedging</w:t>
      </w:r>
      <w:r w:rsidR="00245C54" w:rsidRPr="000E124E">
        <w:rPr>
          <w:rFonts w:eastAsia="+mn-ea"/>
          <w:color w:val="000000"/>
          <w:kern w:val="24"/>
        </w:rPr>
        <w:t xml:space="preserve"> provides</w:t>
      </w:r>
      <w:r w:rsidR="00FF6004" w:rsidRPr="000E124E">
        <w:rPr>
          <w:rFonts w:eastAsia="+mn-ea"/>
          <w:color w:val="000000"/>
          <w:kern w:val="24"/>
        </w:rPr>
        <w:t xml:space="preserve"> </w:t>
      </w:r>
      <w:r w:rsidR="00245C54" w:rsidRPr="000E124E">
        <w:rPr>
          <w:rFonts w:eastAsia="+mn-ea"/>
          <w:color w:val="000000"/>
          <w:kern w:val="24"/>
        </w:rPr>
        <w:t>an</w:t>
      </w:r>
      <w:r w:rsidR="00DA4F6E" w:rsidRPr="000E124E">
        <w:rPr>
          <w:rFonts w:eastAsia="+mn-ea"/>
          <w:color w:val="000000"/>
          <w:kern w:val="24"/>
        </w:rPr>
        <w:t xml:space="preserve"> opportunity</w:t>
      </w:r>
      <w:r w:rsidR="00245C54" w:rsidRPr="000E124E">
        <w:rPr>
          <w:rFonts w:eastAsia="+mn-ea"/>
          <w:color w:val="000000"/>
          <w:kern w:val="24"/>
        </w:rPr>
        <w:t xml:space="preserve"> for Nike</w:t>
      </w:r>
      <w:r w:rsidR="00DA4F6E" w:rsidRPr="000E124E">
        <w:rPr>
          <w:rFonts w:eastAsia="+mn-ea"/>
          <w:color w:val="000000"/>
          <w:kern w:val="24"/>
        </w:rPr>
        <w:t xml:space="preserve"> to</w:t>
      </w:r>
      <w:r w:rsidR="004147D7" w:rsidRPr="000E124E">
        <w:rPr>
          <w:rFonts w:eastAsia="+mn-ea"/>
          <w:color w:val="000000"/>
          <w:kern w:val="24"/>
        </w:rPr>
        <w:t xml:space="preserve"> lock in certain foreign exchange levels</w:t>
      </w:r>
      <w:r w:rsidR="00245C54" w:rsidRPr="000E124E">
        <w:rPr>
          <w:rFonts w:eastAsia="+mn-ea"/>
          <w:color w:val="000000"/>
          <w:kern w:val="24"/>
        </w:rPr>
        <w:t xml:space="preserve"> on which the company can rely with a specific confidence </w:t>
      </w:r>
      <w:r w:rsidR="00945E96" w:rsidRPr="000E124E">
        <w:rPr>
          <w:rFonts w:eastAsia="+mn-ea"/>
          <w:color w:val="000000"/>
          <w:kern w:val="24"/>
        </w:rPr>
        <w:t xml:space="preserve">level. </w:t>
      </w:r>
    </w:p>
    <w:p w:rsidR="00B67D03" w:rsidRPr="000E124E" w:rsidRDefault="00945E96" w:rsidP="000E124E">
      <w:pPr>
        <w:pStyle w:val="NormalWeb"/>
        <w:spacing w:before="106" w:beforeAutospacing="0" w:after="0" w:afterAutospacing="0" w:line="276" w:lineRule="auto"/>
        <w:rPr>
          <w:rFonts w:eastAsia="+mn-ea"/>
          <w:color w:val="000000"/>
          <w:kern w:val="24"/>
        </w:rPr>
      </w:pPr>
      <w:r w:rsidRPr="000E124E">
        <w:rPr>
          <w:rFonts w:eastAsia="+mn-ea"/>
          <w:color w:val="000000"/>
          <w:kern w:val="24"/>
        </w:rPr>
        <w:t>The likely value added by</w:t>
      </w:r>
      <w:r w:rsidR="00245C54" w:rsidRPr="000E124E">
        <w:rPr>
          <w:rFonts w:eastAsia="+mn-ea"/>
          <w:color w:val="000000"/>
          <w:kern w:val="24"/>
        </w:rPr>
        <w:t xml:space="preserve"> Nike’s risk management</w:t>
      </w:r>
      <w:r w:rsidRPr="000E124E">
        <w:rPr>
          <w:rFonts w:eastAsia="+mn-ea"/>
          <w:color w:val="000000"/>
          <w:kern w:val="24"/>
        </w:rPr>
        <w:t xml:space="preserve"> and hedging policy </w:t>
      </w:r>
      <w:r w:rsidR="000E124E">
        <w:rPr>
          <w:rFonts w:eastAsia="+mn-ea"/>
          <w:color w:val="000000"/>
          <w:kern w:val="24"/>
        </w:rPr>
        <w:t xml:space="preserve">is </w:t>
      </w:r>
      <w:r w:rsidR="00F2391F" w:rsidRPr="000E124E">
        <w:rPr>
          <w:rFonts w:eastAsia="+mn-ea"/>
          <w:color w:val="000000"/>
          <w:kern w:val="24"/>
        </w:rPr>
        <w:t>the amount that Nike would have lost had it not hedged its foreign currency exposure. Since the total value o</w:t>
      </w:r>
      <w:r w:rsidR="00D86615" w:rsidRPr="000E124E">
        <w:rPr>
          <w:rFonts w:eastAsia="+mn-ea"/>
          <w:color w:val="000000"/>
          <w:kern w:val="24"/>
        </w:rPr>
        <w:t>f Nike’s forward positions</w:t>
      </w:r>
      <w:r w:rsidR="00F16C70" w:rsidRPr="000E124E">
        <w:rPr>
          <w:rFonts w:eastAsia="+mn-ea"/>
          <w:color w:val="000000"/>
          <w:kern w:val="24"/>
        </w:rPr>
        <w:t xml:space="preserve"> equals the exact opposite of</w:t>
      </w:r>
      <w:r w:rsidR="003C5E01" w:rsidRPr="000E124E">
        <w:rPr>
          <w:rFonts w:eastAsia="+mn-ea"/>
          <w:color w:val="000000"/>
          <w:kern w:val="24"/>
        </w:rPr>
        <w:t xml:space="preserve"> Nike’s expected loss from cash flow exposure, then </w:t>
      </w:r>
      <w:r w:rsidR="00653DC2" w:rsidRPr="000E124E">
        <w:rPr>
          <w:rFonts w:eastAsia="+mn-ea"/>
          <w:color w:val="000000"/>
          <w:kern w:val="24"/>
        </w:rPr>
        <w:t xml:space="preserve">the value added by Nike’s risk management and hedging policy </w:t>
      </w:r>
      <w:r w:rsidR="00D00968">
        <w:rPr>
          <w:rFonts w:eastAsia="+mn-ea"/>
          <w:color w:val="000000"/>
          <w:kern w:val="24"/>
        </w:rPr>
        <w:t>is</w:t>
      </w:r>
      <w:r w:rsidR="00653DC2" w:rsidRPr="000E124E">
        <w:rPr>
          <w:rFonts w:eastAsia="+mn-ea"/>
          <w:color w:val="000000"/>
          <w:kern w:val="24"/>
        </w:rPr>
        <w:t xml:space="preserve"> equal to the total value of </w:t>
      </w:r>
      <w:r w:rsidR="00806D33" w:rsidRPr="000E124E">
        <w:rPr>
          <w:rFonts w:eastAsia="+mn-ea"/>
          <w:color w:val="000000"/>
          <w:kern w:val="24"/>
        </w:rPr>
        <w:t xml:space="preserve">the company’s forward positions, or -$796 million; that is, </w:t>
      </w:r>
      <w:r w:rsidR="00FE22D0" w:rsidRPr="000E124E">
        <w:rPr>
          <w:rFonts w:eastAsia="+mn-ea"/>
          <w:color w:val="000000"/>
          <w:kern w:val="24"/>
        </w:rPr>
        <w:t>for the next 12 months, Ni</w:t>
      </w:r>
      <w:r w:rsidR="00E26C7E" w:rsidRPr="000E124E">
        <w:rPr>
          <w:rFonts w:eastAsia="+mn-ea"/>
          <w:color w:val="000000"/>
          <w:kern w:val="24"/>
        </w:rPr>
        <w:t>ke’s risk management and hedging policy is</w:t>
      </w:r>
      <w:r w:rsidR="007A4B94" w:rsidRPr="000E124E">
        <w:rPr>
          <w:rFonts w:eastAsia="+mn-ea"/>
          <w:color w:val="000000"/>
          <w:kern w:val="24"/>
        </w:rPr>
        <w:t xml:space="preserve"> not</w:t>
      </w:r>
      <w:r w:rsidR="00E26C7E" w:rsidRPr="000E124E">
        <w:rPr>
          <w:rFonts w:eastAsia="+mn-ea"/>
          <w:color w:val="000000"/>
          <w:kern w:val="24"/>
        </w:rPr>
        <w:t xml:space="preserve"> expected to</w:t>
      </w:r>
      <w:r w:rsidR="007A4B94" w:rsidRPr="000E124E">
        <w:rPr>
          <w:rFonts w:eastAsia="+mn-ea"/>
          <w:color w:val="000000"/>
          <w:kern w:val="24"/>
        </w:rPr>
        <w:t xml:space="preserve"> a</w:t>
      </w:r>
      <w:r w:rsidR="003E7128" w:rsidRPr="000E124E">
        <w:rPr>
          <w:rFonts w:eastAsia="+mn-ea"/>
          <w:color w:val="000000"/>
          <w:kern w:val="24"/>
        </w:rPr>
        <w:t>dd any value, but instead erase $</w:t>
      </w:r>
      <w:r w:rsidR="00E26C7E" w:rsidRPr="000E124E">
        <w:rPr>
          <w:rFonts w:eastAsia="+mn-ea"/>
          <w:color w:val="000000"/>
          <w:kern w:val="24"/>
        </w:rPr>
        <w:t>79</w:t>
      </w:r>
      <w:r w:rsidR="003E7128" w:rsidRPr="000E124E">
        <w:rPr>
          <w:rFonts w:eastAsia="+mn-ea"/>
          <w:color w:val="000000"/>
          <w:kern w:val="24"/>
        </w:rPr>
        <w:t>6 million of value.</w:t>
      </w:r>
      <w:r w:rsidR="00F16C70" w:rsidRPr="000E124E">
        <w:rPr>
          <w:rFonts w:eastAsia="+mn-ea"/>
          <w:color w:val="000000"/>
          <w:kern w:val="24"/>
        </w:rPr>
        <w:t xml:space="preserve"> </w:t>
      </w:r>
      <w:r w:rsidR="00472947" w:rsidRPr="000E124E">
        <w:rPr>
          <w:rFonts w:eastAsia="+mn-ea"/>
          <w:color w:val="000000"/>
          <w:kern w:val="24"/>
        </w:rPr>
        <w:t xml:space="preserve"> </w:t>
      </w:r>
      <w:r w:rsidR="00D86615" w:rsidRPr="000E124E">
        <w:rPr>
          <w:rFonts w:eastAsia="+mn-ea"/>
          <w:color w:val="000000"/>
          <w:kern w:val="24"/>
        </w:rPr>
        <w:t xml:space="preserve"> </w:t>
      </w:r>
    </w:p>
    <w:p w:rsidR="00B67D03" w:rsidRDefault="00B67D03" w:rsidP="000E124E">
      <w:pPr>
        <w:pStyle w:val="NormalWeb"/>
        <w:spacing w:before="106" w:beforeAutospacing="0" w:after="0" w:afterAutospacing="0" w:line="276" w:lineRule="auto"/>
        <w:rPr>
          <w:rFonts w:eastAsia="+mn-ea"/>
          <w:color w:val="000000"/>
          <w:kern w:val="24"/>
        </w:rPr>
      </w:pPr>
    </w:p>
    <w:sectPr w:rsidR="00B67D03" w:rsidSect="00363204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461" w:rsidRDefault="00DA7461" w:rsidP="00C06F72">
      <w:r>
        <w:separator/>
      </w:r>
    </w:p>
  </w:endnote>
  <w:endnote w:type="continuationSeparator" w:id="0">
    <w:p w:rsidR="00DA7461" w:rsidRDefault="00DA7461" w:rsidP="00C06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E040001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461" w:rsidRDefault="00DA7461" w:rsidP="00C06F72">
      <w:r>
        <w:separator/>
      </w:r>
    </w:p>
  </w:footnote>
  <w:footnote w:type="continuationSeparator" w:id="0">
    <w:p w:rsidR="00DA7461" w:rsidRDefault="00DA7461" w:rsidP="00C06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1263794261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C06F72" w:rsidRDefault="00C06F72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fldSimple w:instr=" PAGE   \* MERGEFORMAT ">
          <w:r w:rsidR="004B3C2D" w:rsidRPr="004B3C2D">
            <w:rPr>
              <w:b/>
              <w:noProof/>
            </w:rPr>
            <w:t>2</w:t>
          </w:r>
        </w:fldSimple>
      </w:p>
    </w:sdtContent>
  </w:sdt>
  <w:p w:rsidR="00C06F72" w:rsidRDefault="00C06F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4B2A"/>
    <w:multiLevelType w:val="hybridMultilevel"/>
    <w:tmpl w:val="B2423DAA"/>
    <w:lvl w:ilvl="0" w:tplc="18105F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842131A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5442F182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B54E2696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97284822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AB322226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568A4A6E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CC0EE67C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DFD6A4F8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>
    <w:nsid w:val="22803BA7"/>
    <w:multiLevelType w:val="hybridMultilevel"/>
    <w:tmpl w:val="5290D8BC"/>
    <w:lvl w:ilvl="0" w:tplc="2FDC53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EE4AD9E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95A886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702EFFF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154E530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4D4F70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2062D7BC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D40C89D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07A0C584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>
    <w:nsid w:val="538149B4"/>
    <w:multiLevelType w:val="hybridMultilevel"/>
    <w:tmpl w:val="6B16975C"/>
    <w:lvl w:ilvl="0" w:tplc="23EC8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0EC8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66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E1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C80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8E0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7C0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22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86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D404E77"/>
    <w:multiLevelType w:val="hybridMultilevel"/>
    <w:tmpl w:val="9E8834D8"/>
    <w:lvl w:ilvl="0" w:tplc="99D40442">
      <w:start w:val="4"/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A29"/>
    <w:rsid w:val="000A11FD"/>
    <w:rsid w:val="000C1784"/>
    <w:rsid w:val="000C1AB3"/>
    <w:rsid w:val="000C3FAE"/>
    <w:rsid w:val="000D6153"/>
    <w:rsid w:val="000E124E"/>
    <w:rsid w:val="000E1FEA"/>
    <w:rsid w:val="00106383"/>
    <w:rsid w:val="001163FB"/>
    <w:rsid w:val="00132444"/>
    <w:rsid w:val="00194395"/>
    <w:rsid w:val="001B3837"/>
    <w:rsid w:val="001C39D6"/>
    <w:rsid w:val="00211F27"/>
    <w:rsid w:val="00224647"/>
    <w:rsid w:val="00245C54"/>
    <w:rsid w:val="00250A05"/>
    <w:rsid w:val="00265FFC"/>
    <w:rsid w:val="00286C36"/>
    <w:rsid w:val="002941FD"/>
    <w:rsid w:val="002B52DC"/>
    <w:rsid w:val="002D14C4"/>
    <w:rsid w:val="002F48FB"/>
    <w:rsid w:val="0030107A"/>
    <w:rsid w:val="003061BB"/>
    <w:rsid w:val="00306713"/>
    <w:rsid w:val="00315803"/>
    <w:rsid w:val="00363204"/>
    <w:rsid w:val="00383EDF"/>
    <w:rsid w:val="0039242A"/>
    <w:rsid w:val="0039287B"/>
    <w:rsid w:val="003C5E01"/>
    <w:rsid w:val="003D1E91"/>
    <w:rsid w:val="003D7E8F"/>
    <w:rsid w:val="003E1E50"/>
    <w:rsid w:val="003E7128"/>
    <w:rsid w:val="003F7A64"/>
    <w:rsid w:val="0040142A"/>
    <w:rsid w:val="004067DD"/>
    <w:rsid w:val="004147D7"/>
    <w:rsid w:val="00417913"/>
    <w:rsid w:val="0044498F"/>
    <w:rsid w:val="00472947"/>
    <w:rsid w:val="004730F1"/>
    <w:rsid w:val="00491912"/>
    <w:rsid w:val="00491A0A"/>
    <w:rsid w:val="004B3C2D"/>
    <w:rsid w:val="004B7AD1"/>
    <w:rsid w:val="004C251A"/>
    <w:rsid w:val="004D25E4"/>
    <w:rsid w:val="004E5ADA"/>
    <w:rsid w:val="0059618B"/>
    <w:rsid w:val="005B547A"/>
    <w:rsid w:val="005D1D65"/>
    <w:rsid w:val="005D40EA"/>
    <w:rsid w:val="005E6E2D"/>
    <w:rsid w:val="005F79F7"/>
    <w:rsid w:val="00612987"/>
    <w:rsid w:val="00653DC2"/>
    <w:rsid w:val="006815DA"/>
    <w:rsid w:val="00696DCD"/>
    <w:rsid w:val="00710A29"/>
    <w:rsid w:val="00734A7C"/>
    <w:rsid w:val="00783318"/>
    <w:rsid w:val="007A22CD"/>
    <w:rsid w:val="007A4581"/>
    <w:rsid w:val="007A4B94"/>
    <w:rsid w:val="007B0932"/>
    <w:rsid w:val="007F7CB9"/>
    <w:rsid w:val="00805B8D"/>
    <w:rsid w:val="00806D33"/>
    <w:rsid w:val="008619E8"/>
    <w:rsid w:val="00876D0B"/>
    <w:rsid w:val="00881FA6"/>
    <w:rsid w:val="00890D24"/>
    <w:rsid w:val="00895082"/>
    <w:rsid w:val="008C38B9"/>
    <w:rsid w:val="008D6C26"/>
    <w:rsid w:val="008F7B54"/>
    <w:rsid w:val="00945E96"/>
    <w:rsid w:val="0095437F"/>
    <w:rsid w:val="009600E6"/>
    <w:rsid w:val="0096329A"/>
    <w:rsid w:val="009B5562"/>
    <w:rsid w:val="009E6FB8"/>
    <w:rsid w:val="00A015FD"/>
    <w:rsid w:val="00A02D88"/>
    <w:rsid w:val="00A1203C"/>
    <w:rsid w:val="00A557AD"/>
    <w:rsid w:val="00A619C6"/>
    <w:rsid w:val="00A7135D"/>
    <w:rsid w:val="00A75558"/>
    <w:rsid w:val="00A97079"/>
    <w:rsid w:val="00AA1115"/>
    <w:rsid w:val="00AA5F72"/>
    <w:rsid w:val="00AC6851"/>
    <w:rsid w:val="00AC7E10"/>
    <w:rsid w:val="00B17DDA"/>
    <w:rsid w:val="00B43DBC"/>
    <w:rsid w:val="00B67D03"/>
    <w:rsid w:val="00B83FB1"/>
    <w:rsid w:val="00B84A65"/>
    <w:rsid w:val="00BA61FC"/>
    <w:rsid w:val="00BF1946"/>
    <w:rsid w:val="00C06F72"/>
    <w:rsid w:val="00C26F2B"/>
    <w:rsid w:val="00C512E7"/>
    <w:rsid w:val="00C52D24"/>
    <w:rsid w:val="00C8076D"/>
    <w:rsid w:val="00CD201E"/>
    <w:rsid w:val="00CE2727"/>
    <w:rsid w:val="00D00968"/>
    <w:rsid w:val="00D63BF9"/>
    <w:rsid w:val="00D72243"/>
    <w:rsid w:val="00D86615"/>
    <w:rsid w:val="00D96D10"/>
    <w:rsid w:val="00DA4F6E"/>
    <w:rsid w:val="00DA7461"/>
    <w:rsid w:val="00DC7FB8"/>
    <w:rsid w:val="00E10834"/>
    <w:rsid w:val="00E16DB3"/>
    <w:rsid w:val="00E21C46"/>
    <w:rsid w:val="00E26C7E"/>
    <w:rsid w:val="00E44457"/>
    <w:rsid w:val="00E81D8E"/>
    <w:rsid w:val="00E97E94"/>
    <w:rsid w:val="00EA0B53"/>
    <w:rsid w:val="00ED50C4"/>
    <w:rsid w:val="00EE6D51"/>
    <w:rsid w:val="00EF20C7"/>
    <w:rsid w:val="00F03C19"/>
    <w:rsid w:val="00F05F2F"/>
    <w:rsid w:val="00F10919"/>
    <w:rsid w:val="00F16C70"/>
    <w:rsid w:val="00F2015B"/>
    <w:rsid w:val="00F211B6"/>
    <w:rsid w:val="00F2391F"/>
    <w:rsid w:val="00F37881"/>
    <w:rsid w:val="00F75D7B"/>
    <w:rsid w:val="00F826BA"/>
    <w:rsid w:val="00FA7B71"/>
    <w:rsid w:val="00FE22D0"/>
    <w:rsid w:val="00FF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204"/>
    <w:rPr>
      <w:sz w:val="24"/>
      <w:szCs w:val="24"/>
      <w:lang w:val="pt-BR"/>
    </w:rPr>
  </w:style>
  <w:style w:type="paragraph" w:styleId="Heading1">
    <w:name w:val="heading 1"/>
    <w:basedOn w:val="Normal"/>
    <w:next w:val="Normal"/>
    <w:link w:val="Heading1Char"/>
    <w:qFormat/>
    <w:rsid w:val="000E12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igheadline">
    <w:name w:val="bigheadline"/>
    <w:basedOn w:val="DefaultParagraphFont"/>
    <w:rsid w:val="000C3FAE"/>
  </w:style>
  <w:style w:type="character" w:customStyle="1" w:styleId="all">
    <w:name w:val="all"/>
    <w:basedOn w:val="DefaultParagraphFont"/>
    <w:rsid w:val="000C3FAE"/>
  </w:style>
  <w:style w:type="paragraph" w:customStyle="1" w:styleId="fp">
    <w:name w:val="fp"/>
    <w:basedOn w:val="Normal"/>
    <w:rsid w:val="000C3FAE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rsid w:val="002246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1E91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3D1E91"/>
    <w:pPr>
      <w:spacing w:before="100" w:beforeAutospacing="1" w:after="100" w:afterAutospacing="1"/>
    </w:pPr>
    <w:rPr>
      <w:lang w:val="en-US"/>
    </w:rPr>
  </w:style>
  <w:style w:type="paragraph" w:styleId="Subtitle">
    <w:name w:val="Subtitle"/>
    <w:basedOn w:val="Normal"/>
    <w:next w:val="Normal"/>
    <w:link w:val="SubtitleChar"/>
    <w:qFormat/>
    <w:rsid w:val="001C39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C39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BR"/>
    </w:rPr>
  </w:style>
  <w:style w:type="character" w:customStyle="1" w:styleId="Heading1Char">
    <w:name w:val="Heading 1 Char"/>
    <w:basedOn w:val="DefaultParagraphFont"/>
    <w:link w:val="Heading1"/>
    <w:rsid w:val="000E1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/>
    </w:rPr>
  </w:style>
  <w:style w:type="paragraph" w:styleId="Title">
    <w:name w:val="Title"/>
    <w:basedOn w:val="Normal"/>
    <w:next w:val="Normal"/>
    <w:link w:val="TitleChar"/>
    <w:qFormat/>
    <w:rsid w:val="000E12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E12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/>
    </w:rPr>
  </w:style>
  <w:style w:type="paragraph" w:styleId="BalloonText">
    <w:name w:val="Balloon Text"/>
    <w:basedOn w:val="Normal"/>
    <w:link w:val="BalloonTextChar"/>
    <w:rsid w:val="000E1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24E"/>
    <w:rPr>
      <w:rFonts w:ascii="Tahoma" w:hAnsi="Tahoma" w:cs="Tahoma"/>
      <w:sz w:val="16"/>
      <w:szCs w:val="16"/>
      <w:lang w:val="pt-BR"/>
    </w:rPr>
  </w:style>
  <w:style w:type="paragraph" w:styleId="Header">
    <w:name w:val="header"/>
    <w:basedOn w:val="Normal"/>
    <w:link w:val="HeaderChar"/>
    <w:uiPriority w:val="99"/>
    <w:rsid w:val="00C06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F72"/>
    <w:rPr>
      <w:sz w:val="24"/>
      <w:szCs w:val="24"/>
      <w:lang w:val="pt-BR"/>
    </w:rPr>
  </w:style>
  <w:style w:type="paragraph" w:styleId="Footer">
    <w:name w:val="footer"/>
    <w:basedOn w:val="Normal"/>
    <w:link w:val="FooterChar"/>
    <w:rsid w:val="00C06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6F72"/>
    <w:rPr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Nike’s Risk Management and Derivative Usage</vt:lpstr>
    </vt:vector>
  </TitlesOfParts>
  <Company>Washington University</Company>
  <LinksUpToDate>false</LinksUpToDate>
  <CharactersWithSpaces>3070</CharactersWithSpaces>
  <SharedDoc>false</SharedDoc>
  <HLinks>
    <vt:vector size="6" baseType="variant">
      <vt:variant>
        <vt:i4>5963863</vt:i4>
      </vt:variant>
      <vt:variant>
        <vt:i4>0</vt:i4>
      </vt:variant>
      <vt:variant>
        <vt:i4>0</vt:i4>
      </vt:variant>
      <vt:variant>
        <vt:i4>5</vt:i4>
      </vt:variant>
      <vt:variant>
        <vt:lpwstr>http://www.nike.com/nikebiz/nikebiz.jhtml;bsessionid=WNGQLV0FK5SJECQFTBECF4YKAWMEUIZB?page=15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Nike’s Risk Management and Derivative Usage</dc:title>
  <dc:creator>gomes</dc:creator>
  <cp:lastModifiedBy>Owner</cp:lastModifiedBy>
  <cp:revision>2</cp:revision>
  <cp:lastPrinted>2011-03-21T14:38:00Z</cp:lastPrinted>
  <dcterms:created xsi:type="dcterms:W3CDTF">2011-03-30T18:39:00Z</dcterms:created>
  <dcterms:modified xsi:type="dcterms:W3CDTF">2011-03-30T18:39:00Z</dcterms:modified>
</cp:coreProperties>
</file>